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pPr w:leftFromText="187" w:rightFromText="187" w:vertAnchor="page" w:horzAnchor="page" w:tblpYSpec="top"/>
        <w:tblW w:w="0" w:type="auto"/>
        <w:tblBorders>
          <w:insideV w:val="single" w:color="FFFFFF" w:sz="4" w:space="0"/>
        </w:tblBorders>
        <w:shd w:val="clear" w:color="auto" w:fill="244061"/>
        <w:tblLook w:val="04A0" w:firstRow="1" w:lastRow="0" w:firstColumn="1" w:lastColumn="0" w:noHBand="0" w:noVBand="1"/>
      </w:tblPr>
      <w:tblGrid>
        <w:gridCol w:w="1440"/>
        <w:gridCol w:w="4428"/>
      </w:tblGrid>
      <w:tr w:rsidRPr="00535392" w:rsidR="00051C41" w:rsidTr="000166F0" w14:paraId="431D824A" w14:textId="77777777">
        <w:trPr>
          <w:trHeight w:val="1440"/>
        </w:trPr>
        <w:tc>
          <w:tcPr>
            <w:tcW w:w="1440" w:type="dxa"/>
            <w:shd w:val="clear" w:color="auto" w:fill="244061"/>
          </w:tcPr>
          <w:p w:rsidRPr="00535392" w:rsidR="00051C41" w:rsidP="00000955" w:rsidRDefault="00051C41" w14:paraId="4B991111" w14:textId="77777777">
            <w:pPr>
              <w:rPr>
                <w:rFonts w:cs="Arial"/>
              </w:rPr>
            </w:pPr>
          </w:p>
        </w:tc>
        <w:tc>
          <w:tcPr>
            <w:tcW w:w="4428" w:type="dxa"/>
            <w:shd w:val="clear" w:color="auto" w:fill="244061"/>
            <w:vAlign w:val="bottom"/>
          </w:tcPr>
          <w:p w:rsidRPr="00051C41" w:rsidR="00051C41" w:rsidP="00000955" w:rsidRDefault="00051C41" w14:paraId="4A3089A6" w14:textId="77777777">
            <w:pPr>
              <w:pStyle w:val="NoSpacing"/>
              <w:rPr>
                <w:rFonts w:ascii="Arial" w:hAnsi="Arial" w:cs="Arial"/>
                <w:b/>
                <w:bCs/>
                <w:color w:val="FFFFFF"/>
                <w:sz w:val="72"/>
                <w:szCs w:val="72"/>
              </w:rPr>
            </w:pPr>
          </w:p>
        </w:tc>
      </w:tr>
      <w:tr w:rsidRPr="00535392" w:rsidR="00051C41" w:rsidTr="000166F0" w14:paraId="79367385" w14:textId="77777777">
        <w:trPr>
          <w:trHeight w:val="2880"/>
        </w:trPr>
        <w:tc>
          <w:tcPr>
            <w:tcW w:w="1440" w:type="dxa"/>
            <w:shd w:val="clear" w:color="auto" w:fill="244061"/>
          </w:tcPr>
          <w:p w:rsidRPr="00535392" w:rsidR="00051C41" w:rsidP="00000955" w:rsidRDefault="00051C41" w14:paraId="5E1C3AAE" w14:textId="77777777">
            <w:pPr>
              <w:rPr>
                <w:rFonts w:cs="Arial"/>
              </w:rPr>
            </w:pPr>
          </w:p>
        </w:tc>
        <w:tc>
          <w:tcPr>
            <w:tcW w:w="4428" w:type="dxa"/>
            <w:shd w:val="clear" w:color="auto" w:fill="244061"/>
            <w:vAlign w:val="center"/>
          </w:tcPr>
          <w:p w:rsidR="0025762C" w:rsidP="00051C41" w:rsidRDefault="0025762C" w14:paraId="7C041154" w14:textId="29BC36B7">
            <w:pPr>
              <w:pStyle w:val="NoSpacing"/>
              <w:ind w:left="270"/>
              <w:rPr>
                <w:rFonts w:ascii="Arial" w:hAnsi="Arial" w:cs="Arial"/>
                <w:b/>
                <w:sz w:val="48"/>
              </w:rPr>
            </w:pPr>
            <w:r>
              <w:rPr>
                <w:rFonts w:ascii="Arial" w:hAnsi="Arial" w:cs="Arial"/>
                <w:b/>
                <w:sz w:val="48"/>
              </w:rPr>
              <w:t>Overall</w:t>
            </w:r>
          </w:p>
          <w:p w:rsidR="0025762C" w:rsidP="00051C41" w:rsidRDefault="00051C41" w14:paraId="4319C7D7" w14:textId="77777777">
            <w:pPr>
              <w:pStyle w:val="NoSpacing"/>
              <w:ind w:left="270"/>
              <w:rPr>
                <w:rFonts w:ascii="Arial" w:hAnsi="Arial" w:cs="Arial"/>
                <w:b/>
                <w:sz w:val="48"/>
              </w:rPr>
            </w:pPr>
            <w:r w:rsidRPr="00051C41">
              <w:rPr>
                <w:rFonts w:ascii="Arial" w:hAnsi="Arial" w:cs="Arial"/>
                <w:b/>
                <w:sz w:val="48"/>
              </w:rPr>
              <w:t xml:space="preserve">Disadvantaged Business Enterprise </w:t>
            </w:r>
          </w:p>
          <w:p w:rsidRPr="00535392" w:rsidR="00051C41" w:rsidP="00051C41" w:rsidRDefault="00051C41" w14:paraId="4F14548D" w14:textId="77777777">
            <w:pPr>
              <w:pStyle w:val="NoSpacing"/>
              <w:ind w:left="270"/>
              <w:rPr>
                <w:rFonts w:ascii="Arial" w:hAnsi="Arial" w:cs="Arial"/>
                <w:b/>
                <w:sz w:val="44"/>
              </w:rPr>
            </w:pPr>
            <w:r w:rsidRPr="00051C41">
              <w:rPr>
                <w:rFonts w:ascii="Arial" w:hAnsi="Arial" w:cs="Arial"/>
                <w:b/>
                <w:sz w:val="48"/>
              </w:rPr>
              <w:t>Goal and Methodology for FFY 202</w:t>
            </w:r>
            <w:r w:rsidR="000327F1">
              <w:rPr>
                <w:rFonts w:ascii="Arial" w:hAnsi="Arial" w:cs="Arial"/>
                <w:b/>
                <w:sz w:val="48"/>
              </w:rPr>
              <w:t>4</w:t>
            </w:r>
            <w:r w:rsidRPr="00051C41">
              <w:rPr>
                <w:rFonts w:ascii="Arial" w:hAnsi="Arial" w:cs="Arial"/>
                <w:b/>
                <w:sz w:val="48"/>
              </w:rPr>
              <w:t>-202</w:t>
            </w:r>
            <w:r w:rsidR="000327F1">
              <w:rPr>
                <w:rFonts w:ascii="Arial" w:hAnsi="Arial" w:cs="Arial"/>
                <w:b/>
                <w:sz w:val="48"/>
              </w:rPr>
              <w:t>6</w:t>
            </w:r>
            <w:r w:rsidRPr="00535392">
              <w:rPr>
                <w:rFonts w:ascii="Arial" w:hAnsi="Arial" w:cs="Arial"/>
                <w:b/>
                <w:sz w:val="44"/>
              </w:rPr>
              <w:t xml:space="preserve"> </w:t>
            </w:r>
          </w:p>
          <w:p w:rsidR="00051C41" w:rsidP="00051C41" w:rsidRDefault="00051C41" w14:paraId="59FC9012" w14:textId="77777777">
            <w:pPr>
              <w:pStyle w:val="NoSpacing"/>
              <w:ind w:left="270"/>
              <w:rPr>
                <w:rFonts w:ascii="Arial" w:hAnsi="Arial" w:cs="Arial"/>
                <w:b/>
                <w:sz w:val="28"/>
              </w:rPr>
            </w:pPr>
            <w:r w:rsidRPr="00535392">
              <w:rPr>
                <w:rFonts w:ascii="Arial" w:hAnsi="Arial" w:cs="Arial"/>
                <w:b/>
                <w:sz w:val="28"/>
              </w:rPr>
              <w:t xml:space="preserve">October </w:t>
            </w:r>
            <w:r>
              <w:rPr>
                <w:rFonts w:ascii="Arial" w:hAnsi="Arial" w:cs="Arial"/>
                <w:b/>
                <w:sz w:val="28"/>
              </w:rPr>
              <w:t xml:space="preserve">1, </w:t>
            </w:r>
            <w:r w:rsidRPr="00535392">
              <w:rPr>
                <w:rFonts w:ascii="Arial" w:hAnsi="Arial" w:cs="Arial"/>
                <w:b/>
                <w:sz w:val="28"/>
              </w:rPr>
              <w:t>20</w:t>
            </w:r>
            <w:r>
              <w:rPr>
                <w:rFonts w:ascii="Arial" w:hAnsi="Arial" w:cs="Arial"/>
                <w:b/>
                <w:sz w:val="28"/>
              </w:rPr>
              <w:t>2</w:t>
            </w:r>
            <w:r w:rsidR="000327F1">
              <w:rPr>
                <w:rFonts w:ascii="Arial" w:hAnsi="Arial" w:cs="Arial"/>
                <w:b/>
                <w:sz w:val="28"/>
              </w:rPr>
              <w:t>3</w:t>
            </w:r>
            <w:r w:rsidRPr="00535392">
              <w:rPr>
                <w:rFonts w:ascii="Arial" w:hAnsi="Arial" w:cs="Arial"/>
                <w:b/>
                <w:sz w:val="28"/>
              </w:rPr>
              <w:t xml:space="preserve"> </w:t>
            </w:r>
            <w:r>
              <w:rPr>
                <w:rFonts w:ascii="Arial" w:hAnsi="Arial" w:cs="Arial"/>
                <w:b/>
                <w:sz w:val="28"/>
              </w:rPr>
              <w:t>to</w:t>
            </w:r>
            <w:r w:rsidRPr="00535392">
              <w:rPr>
                <w:rFonts w:ascii="Arial" w:hAnsi="Arial" w:cs="Arial"/>
                <w:b/>
                <w:sz w:val="28"/>
              </w:rPr>
              <w:t xml:space="preserve"> </w:t>
            </w:r>
          </w:p>
          <w:p w:rsidR="00051C41" w:rsidP="00051C41" w:rsidRDefault="00051C41" w14:paraId="492FDD21" w14:textId="77777777">
            <w:pPr>
              <w:pStyle w:val="NoSpacing"/>
              <w:ind w:left="270"/>
              <w:rPr>
                <w:rFonts w:ascii="Arial" w:hAnsi="Arial" w:cs="Arial"/>
                <w:b/>
                <w:sz w:val="28"/>
              </w:rPr>
            </w:pPr>
            <w:r w:rsidRPr="00535392">
              <w:rPr>
                <w:rFonts w:ascii="Arial" w:hAnsi="Arial" w:cs="Arial"/>
                <w:b/>
                <w:sz w:val="28"/>
              </w:rPr>
              <w:t>September</w:t>
            </w:r>
            <w:r>
              <w:rPr>
                <w:rFonts w:ascii="Arial" w:hAnsi="Arial" w:cs="Arial"/>
                <w:b/>
                <w:sz w:val="28"/>
              </w:rPr>
              <w:t xml:space="preserve"> 30, 202</w:t>
            </w:r>
            <w:r w:rsidR="000327F1">
              <w:rPr>
                <w:rFonts w:ascii="Arial" w:hAnsi="Arial" w:cs="Arial"/>
                <w:b/>
                <w:sz w:val="28"/>
              </w:rPr>
              <w:t>6</w:t>
            </w:r>
          </w:p>
          <w:p w:rsidR="00051C41" w:rsidP="00000955" w:rsidRDefault="00051C41" w14:paraId="4C43059E" w14:textId="77777777">
            <w:pPr>
              <w:pStyle w:val="NoSpacing"/>
              <w:ind w:left="360"/>
              <w:rPr>
                <w:rFonts w:ascii="Arial" w:hAnsi="Arial" w:cs="Arial"/>
                <w:b/>
                <w:sz w:val="28"/>
              </w:rPr>
            </w:pPr>
          </w:p>
          <w:p w:rsidRPr="00051C41" w:rsidR="00051C41" w:rsidP="00000955" w:rsidRDefault="00051C41" w14:paraId="423B54F1" w14:textId="77777777">
            <w:pPr>
              <w:pStyle w:val="NoSpacing"/>
              <w:rPr>
                <w:rFonts w:ascii="Arial" w:hAnsi="Arial" w:cs="Arial"/>
                <w:color w:val="76923C"/>
              </w:rPr>
            </w:pPr>
          </w:p>
        </w:tc>
      </w:tr>
    </w:tbl>
    <w:p w:rsidRPr="00535392" w:rsidR="00051C41" w:rsidP="00051C41" w:rsidRDefault="00051C41" w14:paraId="38FAAA94" w14:textId="02100750">
      <w:pPr>
        <w:jc w:val="right"/>
        <w:rPr>
          <w:rFonts w:cs="Arial"/>
        </w:rPr>
      </w:pPr>
    </w:p>
    <w:p w:rsidRPr="00535392" w:rsidR="00051C41" w:rsidP="00051C41" w:rsidRDefault="00051C41" w14:paraId="036ED3F3" w14:textId="6DB9DBDE">
      <w:pPr>
        <w:rPr>
          <w:rFonts w:cs="Arial"/>
        </w:rPr>
      </w:pPr>
    </w:p>
    <w:p w:rsidRPr="00535392" w:rsidR="00051C41" w:rsidP="00051C41" w:rsidRDefault="00051C41" w14:paraId="4DC5BF22" w14:textId="3A3F68A8">
      <w:pPr>
        <w:rPr>
          <w:rFonts w:cs="Arial"/>
        </w:rPr>
      </w:pPr>
    </w:p>
    <w:p w:rsidRPr="00051C41" w:rsidR="00051C41" w:rsidP="00051C41" w:rsidRDefault="00DF4212" w14:paraId="36425B7C" w14:textId="2D9EC069">
      <w:pPr>
        <w:rPr>
          <w:rFonts w:cs="Arial"/>
          <w:b/>
          <w:bCs/>
          <w:color w:val="FFFFFF"/>
          <w:sz w:val="52"/>
          <w:szCs w:val="72"/>
          <w:lang w:eastAsia="ja-JP"/>
        </w:rPr>
      </w:pPr>
      <w:r>
        <w:rPr>
          <w:rFonts w:cs="Arial"/>
          <w:noProof/>
          <w:snapToGrid/>
        </w:rPr>
        <w:drawing>
          <wp:anchor distT="0" distB="0" distL="114300" distR="114300" simplePos="0" relativeHeight="251658240" behindDoc="0" locked="0" layoutInCell="1" allowOverlap="1" wp14:anchorId="4ED517E8" wp14:editId="03D70946">
            <wp:simplePos x="0" y="0"/>
            <wp:positionH relativeFrom="column">
              <wp:posOffset>3313541</wp:posOffset>
            </wp:positionH>
            <wp:positionV relativeFrom="paragraph">
              <wp:posOffset>7455</wp:posOffset>
            </wp:positionV>
            <wp:extent cx="2838043" cy="2687541"/>
            <wp:effectExtent l="0" t="0" r="0" b="0"/>
            <wp:wrapNone/>
            <wp:docPr id="2065918029"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18029" name="Picture 5" descr="Logo&#10;&#10;Description automatically generated"/>
                    <pic:cNvPicPr/>
                  </pic:nvPicPr>
                  <pic:blipFill rotWithShape="1">
                    <a:blip r:embed="rId11" cstate="print">
                      <a:extLst>
                        <a:ext uri="{28A0092B-C50C-407E-A947-70E740481C1C}">
                          <a14:useLocalDpi xmlns:a14="http://schemas.microsoft.com/office/drawing/2010/main" val="0"/>
                        </a:ext>
                      </a:extLst>
                    </a:blip>
                    <a:srcRect l="19719" t="22544" r="26043" b="22735"/>
                    <a:stretch/>
                  </pic:blipFill>
                  <pic:spPr bwMode="auto">
                    <a:xfrm>
                      <a:off x="0" y="0"/>
                      <a:ext cx="2838043" cy="2687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1DCC" w:rsidP="00B02C6F" w:rsidRDefault="005C1DCC" w14:paraId="2ABC7F9C" w14:textId="77777777">
      <w:pPr>
        <w:widowControl/>
        <w:spacing w:before="4"/>
        <w:jc w:val="center"/>
        <w:rPr>
          <w:rFonts w:eastAsia="Calibri Light" w:cs="Arial"/>
          <w:b/>
          <w:snapToGrid/>
          <w:color w:val="2E5395"/>
          <w:szCs w:val="24"/>
        </w:rPr>
      </w:pPr>
    </w:p>
    <w:p w:rsidR="005C1DCC" w:rsidP="00B02C6F" w:rsidRDefault="005C1DCC" w14:paraId="1C785C2A" w14:textId="2F4576D7">
      <w:pPr>
        <w:widowControl/>
        <w:spacing w:before="4"/>
        <w:jc w:val="center"/>
        <w:rPr>
          <w:rFonts w:eastAsia="Calibri Light" w:cs="Arial"/>
          <w:b/>
          <w:snapToGrid/>
          <w:color w:val="2E5395"/>
          <w:szCs w:val="24"/>
        </w:rPr>
      </w:pPr>
    </w:p>
    <w:p w:rsidR="005C1DCC" w:rsidP="00B02C6F" w:rsidRDefault="005C1DCC" w14:paraId="50747E97" w14:textId="77777777">
      <w:pPr>
        <w:widowControl/>
        <w:spacing w:before="4"/>
        <w:jc w:val="center"/>
        <w:rPr>
          <w:rFonts w:eastAsia="Calibri Light" w:cs="Arial"/>
          <w:b/>
          <w:snapToGrid/>
          <w:color w:val="2E5395"/>
          <w:szCs w:val="24"/>
        </w:rPr>
      </w:pPr>
    </w:p>
    <w:p w:rsidR="005C1DCC" w:rsidP="00B02C6F" w:rsidRDefault="005C1DCC" w14:paraId="20293DB3" w14:textId="0BB1ACDF">
      <w:pPr>
        <w:widowControl/>
        <w:spacing w:before="4"/>
        <w:jc w:val="center"/>
        <w:rPr>
          <w:rFonts w:eastAsia="Calibri Light" w:cs="Arial"/>
          <w:b/>
          <w:snapToGrid/>
          <w:color w:val="2E5395"/>
          <w:szCs w:val="24"/>
        </w:rPr>
      </w:pPr>
    </w:p>
    <w:p w:rsidR="005C1DCC" w:rsidP="00B02C6F" w:rsidRDefault="005C1DCC" w14:paraId="6930C382" w14:textId="1C526A32">
      <w:pPr>
        <w:widowControl/>
        <w:spacing w:before="4"/>
        <w:jc w:val="center"/>
        <w:rPr>
          <w:rFonts w:eastAsia="Calibri Light" w:cs="Arial"/>
          <w:b/>
          <w:snapToGrid/>
          <w:color w:val="2E5395"/>
          <w:szCs w:val="24"/>
        </w:rPr>
      </w:pPr>
    </w:p>
    <w:p w:rsidR="005C1DCC" w:rsidP="00B02C6F" w:rsidRDefault="005C1DCC" w14:paraId="0EC93702" w14:textId="41C24E82">
      <w:pPr>
        <w:widowControl/>
        <w:spacing w:before="4"/>
        <w:jc w:val="center"/>
        <w:rPr>
          <w:rFonts w:eastAsia="Calibri Light" w:cs="Arial"/>
          <w:b/>
          <w:snapToGrid/>
          <w:color w:val="2E5395"/>
          <w:szCs w:val="24"/>
        </w:rPr>
      </w:pPr>
    </w:p>
    <w:p w:rsidR="005C1DCC" w:rsidP="00B02C6F" w:rsidRDefault="005C1DCC" w14:paraId="585006F7" w14:textId="12D40085">
      <w:pPr>
        <w:widowControl/>
        <w:spacing w:before="4"/>
        <w:jc w:val="center"/>
        <w:rPr>
          <w:rFonts w:eastAsia="Calibri Light" w:cs="Arial"/>
          <w:b/>
          <w:snapToGrid/>
          <w:color w:val="2E5395"/>
          <w:szCs w:val="24"/>
        </w:rPr>
      </w:pPr>
    </w:p>
    <w:p w:rsidR="005C1DCC" w:rsidP="00B02C6F" w:rsidRDefault="005C1DCC" w14:paraId="11281743" w14:textId="77777777">
      <w:pPr>
        <w:widowControl/>
        <w:spacing w:before="4"/>
        <w:jc w:val="center"/>
        <w:rPr>
          <w:rFonts w:eastAsia="Calibri Light" w:cs="Arial"/>
          <w:b/>
          <w:snapToGrid/>
          <w:color w:val="2E5395"/>
          <w:szCs w:val="24"/>
        </w:rPr>
      </w:pPr>
    </w:p>
    <w:p w:rsidR="005C1DCC" w:rsidP="00B02C6F" w:rsidRDefault="005C1DCC" w14:paraId="4A111D89" w14:textId="5F3EB0E9">
      <w:pPr>
        <w:widowControl/>
        <w:spacing w:before="4"/>
        <w:jc w:val="center"/>
        <w:rPr>
          <w:rFonts w:eastAsia="Calibri Light" w:cs="Arial"/>
          <w:b/>
          <w:snapToGrid/>
          <w:color w:val="2E5395"/>
          <w:szCs w:val="24"/>
        </w:rPr>
      </w:pPr>
    </w:p>
    <w:p w:rsidR="005C1DCC" w:rsidP="00B02C6F" w:rsidRDefault="005C1DCC" w14:paraId="0DA6F374" w14:textId="2FCB061B">
      <w:pPr>
        <w:widowControl/>
        <w:spacing w:before="4"/>
        <w:jc w:val="center"/>
        <w:rPr>
          <w:rFonts w:eastAsia="Calibri Light" w:cs="Arial"/>
          <w:b/>
          <w:snapToGrid/>
          <w:color w:val="2E5395"/>
          <w:szCs w:val="24"/>
        </w:rPr>
      </w:pPr>
    </w:p>
    <w:p w:rsidR="005C1DCC" w:rsidP="00B02C6F" w:rsidRDefault="005C1DCC" w14:paraId="58D66515" w14:textId="209AD8D2">
      <w:pPr>
        <w:widowControl/>
        <w:spacing w:before="4"/>
        <w:jc w:val="center"/>
        <w:rPr>
          <w:rFonts w:eastAsia="Calibri Light" w:cs="Arial"/>
          <w:b/>
          <w:snapToGrid/>
          <w:color w:val="2E5395"/>
          <w:szCs w:val="24"/>
        </w:rPr>
      </w:pPr>
    </w:p>
    <w:p w:rsidR="005C1DCC" w:rsidP="00B02C6F" w:rsidRDefault="005C1DCC" w14:paraId="33F0BC75" w14:textId="1A3B505D">
      <w:pPr>
        <w:widowControl/>
        <w:spacing w:before="4"/>
        <w:jc w:val="center"/>
        <w:rPr>
          <w:rFonts w:eastAsia="Calibri Light" w:cs="Arial"/>
          <w:b/>
          <w:snapToGrid/>
          <w:color w:val="2E5395"/>
          <w:szCs w:val="24"/>
        </w:rPr>
      </w:pPr>
    </w:p>
    <w:p w:rsidR="005C1DCC" w:rsidP="00B02C6F" w:rsidRDefault="005C1DCC" w14:paraId="357AA893" w14:textId="3737EC9B">
      <w:pPr>
        <w:widowControl/>
        <w:spacing w:before="4"/>
        <w:jc w:val="center"/>
        <w:rPr>
          <w:rFonts w:eastAsia="Calibri Light" w:cs="Arial"/>
          <w:b/>
          <w:snapToGrid/>
          <w:color w:val="2E5395"/>
          <w:szCs w:val="24"/>
        </w:rPr>
      </w:pPr>
    </w:p>
    <w:p w:rsidR="005C1DCC" w:rsidP="00B02C6F" w:rsidRDefault="005C1DCC" w14:paraId="3DA1E199" w14:textId="31A95E1A">
      <w:pPr>
        <w:widowControl/>
        <w:spacing w:before="4"/>
        <w:jc w:val="center"/>
        <w:rPr>
          <w:rFonts w:eastAsia="Calibri Light" w:cs="Arial"/>
          <w:b/>
          <w:snapToGrid/>
          <w:color w:val="2E5395"/>
          <w:szCs w:val="24"/>
        </w:rPr>
      </w:pPr>
    </w:p>
    <w:p w:rsidR="005C1DCC" w:rsidP="00B02C6F" w:rsidRDefault="005C1DCC" w14:paraId="06588E64" w14:textId="2830CFCB">
      <w:pPr>
        <w:widowControl/>
        <w:spacing w:before="4"/>
        <w:jc w:val="center"/>
        <w:rPr>
          <w:rFonts w:eastAsia="Calibri Light" w:cs="Arial"/>
          <w:b/>
          <w:snapToGrid/>
          <w:color w:val="2E5395"/>
          <w:szCs w:val="24"/>
        </w:rPr>
      </w:pPr>
    </w:p>
    <w:p w:rsidR="005C1DCC" w:rsidP="00B02C6F" w:rsidRDefault="005C1DCC" w14:paraId="0E5B43B6" w14:textId="77777777">
      <w:pPr>
        <w:widowControl/>
        <w:spacing w:before="4"/>
        <w:jc w:val="center"/>
        <w:rPr>
          <w:rFonts w:eastAsia="Calibri Light" w:cs="Arial"/>
          <w:b/>
          <w:snapToGrid/>
          <w:color w:val="2E5395"/>
          <w:szCs w:val="24"/>
        </w:rPr>
      </w:pPr>
    </w:p>
    <w:p w:rsidR="005C1DCC" w:rsidP="00B02C6F" w:rsidRDefault="005C1DCC" w14:paraId="5E414521" w14:textId="77777777">
      <w:pPr>
        <w:widowControl/>
        <w:spacing w:before="4"/>
        <w:jc w:val="center"/>
        <w:rPr>
          <w:rFonts w:eastAsia="Calibri Light" w:cs="Arial"/>
          <w:b/>
          <w:snapToGrid/>
          <w:color w:val="2E5395"/>
          <w:szCs w:val="24"/>
        </w:rPr>
      </w:pPr>
    </w:p>
    <w:p w:rsidR="005C1DCC" w:rsidP="67C840B8" w:rsidRDefault="00697C82" w14:paraId="0905DCAE" w14:textId="7AD87D85">
      <w:pPr>
        <w:widowControl w:val="1"/>
        <w:spacing w:before="4"/>
        <w:jc w:val="center"/>
        <w:rPr>
          <w:rFonts w:eastAsia="Calibri Light" w:cs="Arial"/>
          <w:b w:val="1"/>
          <w:bCs w:val="1"/>
          <w:snapToGrid/>
          <w:color w:val="2E5395"/>
        </w:rPr>
      </w:pPr>
      <w:r w:rsidR="00697C82">
        <w:drawing>
          <wp:inline wp14:editId="7CB9C32B" wp14:anchorId="73372F75">
            <wp:extent cx="6029325" cy="3714750"/>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faee08c4fcdd454e">
                      <a:extLst xmlns:a="http://schemas.openxmlformats.org/drawingml/2006/main">
                        <a:ext uri="{28A0092B-C50C-407E-A947-70E740481C1C}">
                          <a14:useLocalDpi xmlns:a14="http://schemas.microsoft.com/office/drawing/2010/main" val="0"/>
                        </a:ext>
                      </a:extLst>
                    </a:blip>
                    <a:srcRect t="16794" r="24429" b="13158"/>
                    <a:stretch>
                      <a:fillRect/>
                    </a:stretch>
                  </pic:blipFill>
                  <pic:spPr>
                    <a:xfrm rot="0" flipH="0" flipV="0">
                      <a:off x="0" y="0"/>
                      <a:ext cx="6029325" cy="3714750"/>
                    </a:xfrm>
                    <a:prstGeom prst="rect">
                      <a:avLst/>
                    </a:prstGeom>
                  </pic:spPr>
                </pic:pic>
              </a:graphicData>
            </a:graphic>
          </wp:inline>
        </w:drawing>
      </w:r>
    </w:p>
    <w:p w:rsidRPr="00D438C2" w:rsidR="005C1DCC" w:rsidP="00873DF4" w:rsidRDefault="005C1DCC" w14:paraId="40EFC2F2" w14:textId="77777777">
      <w:pPr>
        <w:pStyle w:val="NoSpacing"/>
        <w:rPr>
          <w:rFonts w:ascii="Arial" w:hAnsi="Arial" w:cs="Arial"/>
          <w:b/>
          <w:bCs/>
          <w:caps/>
          <w:color w:val="244061"/>
          <w:sz w:val="28"/>
          <w:szCs w:val="28"/>
        </w:rPr>
      </w:pPr>
    </w:p>
    <w:p w:rsidR="005C1DCC" w:rsidP="00D438C2" w:rsidRDefault="005C1DCC" w14:paraId="49169F8C" w14:textId="77777777">
      <w:pPr>
        <w:pStyle w:val="NoSpacing"/>
        <w:jc w:val="center"/>
        <w:rPr>
          <w:rFonts w:ascii="Arial" w:hAnsi="Arial" w:cs="Arial"/>
          <w:b/>
          <w:bCs/>
          <w:caps/>
          <w:color w:val="244061"/>
          <w:sz w:val="56"/>
          <w:szCs w:val="72"/>
        </w:rPr>
      </w:pPr>
      <w:r w:rsidRPr="00051C41">
        <w:rPr>
          <w:rFonts w:ascii="Arial" w:hAnsi="Arial" w:cs="Arial"/>
          <w:b/>
          <w:bCs/>
          <w:caps/>
          <w:color w:val="244061"/>
          <w:sz w:val="56"/>
          <w:szCs w:val="72"/>
        </w:rPr>
        <w:t xml:space="preserve">Sacramento </w:t>
      </w:r>
    </w:p>
    <w:p w:rsidR="005C1DCC" w:rsidP="00D438C2" w:rsidRDefault="005C1DCC" w14:paraId="03F38B57" w14:textId="77777777">
      <w:pPr>
        <w:pStyle w:val="NoSpacing"/>
        <w:jc w:val="center"/>
        <w:rPr>
          <w:rFonts w:ascii="Arial" w:hAnsi="Arial" w:cs="Arial"/>
          <w:b/>
          <w:bCs/>
          <w:caps/>
          <w:color w:val="244061"/>
          <w:sz w:val="56"/>
          <w:szCs w:val="72"/>
        </w:rPr>
      </w:pPr>
      <w:r w:rsidRPr="00051C41">
        <w:rPr>
          <w:rFonts w:ascii="Arial" w:hAnsi="Arial" w:cs="Arial"/>
          <w:b/>
          <w:bCs/>
          <w:caps/>
          <w:color w:val="244061"/>
          <w:sz w:val="56"/>
          <w:szCs w:val="72"/>
        </w:rPr>
        <w:t>Regional Transit District</w:t>
      </w:r>
    </w:p>
    <w:p w:rsidRPr="004155B3" w:rsidR="006970ED" w:rsidP="00276A0E" w:rsidRDefault="005C1DCC" w14:paraId="3135350A" w14:textId="37214110">
      <w:pPr>
        <w:widowControl/>
        <w:numPr>
          <w:ilvl w:val="0"/>
          <w:numId w:val="7"/>
        </w:numPr>
        <w:spacing w:before="4"/>
        <w:ind w:left="720"/>
        <w:rPr>
          <w:rFonts w:eastAsia="Calibri Light" w:cs="Arial"/>
          <w:b/>
          <w:snapToGrid/>
          <w:color w:val="2E5395"/>
          <w:szCs w:val="22"/>
          <w:u w:val="single"/>
        </w:rPr>
      </w:pPr>
      <w:r w:rsidRPr="00D438C2">
        <w:rPr>
          <w:rFonts w:eastAsia="Calibri Light" w:cs="Arial"/>
          <w:b/>
          <w:color w:val="2E5395"/>
          <w:sz w:val="28"/>
          <w:szCs w:val="24"/>
        </w:rPr>
        <w:br w:type="page"/>
      </w:r>
      <w:r w:rsidRPr="004155B3" w:rsidR="000678FC">
        <w:rPr>
          <w:rFonts w:eastAsia="Calibri Light" w:cs="Arial"/>
          <w:b/>
          <w:snapToGrid/>
          <w:color w:val="2E5395"/>
          <w:szCs w:val="22"/>
          <w:u w:val="single"/>
        </w:rPr>
        <w:lastRenderedPageBreak/>
        <w:t>INTRODUCTION</w:t>
      </w:r>
    </w:p>
    <w:p w:rsidRPr="004155B3" w:rsidR="006970ED" w:rsidP="006970ED" w:rsidRDefault="006970ED" w14:paraId="61408F75" w14:textId="77777777">
      <w:pPr>
        <w:rPr>
          <w:sz w:val="22"/>
          <w:szCs w:val="22"/>
        </w:rPr>
      </w:pPr>
    </w:p>
    <w:p w:rsidRPr="004155B3" w:rsidR="000A5182" w:rsidP="006970ED" w:rsidRDefault="000A5182" w14:paraId="0C04BB2F" w14:textId="2077729B">
      <w:pPr>
        <w:jc w:val="both"/>
        <w:rPr>
          <w:sz w:val="22"/>
          <w:szCs w:val="22"/>
        </w:rPr>
      </w:pPr>
      <w:r w:rsidRPr="004155B3">
        <w:rPr>
          <w:sz w:val="22"/>
          <w:szCs w:val="22"/>
        </w:rPr>
        <w:t xml:space="preserve">Sacramento Regional Transit District (SacRT) is committed to promoting diversity, equity, and inclusion in all aspects of our operations. </w:t>
      </w:r>
      <w:r w:rsidRPr="004155B3" w:rsidR="00AA3AEF">
        <w:rPr>
          <w:sz w:val="22"/>
          <w:szCs w:val="22"/>
        </w:rPr>
        <w:t>The goal of SacRT’s DBE Program, in compliance with 49 CFR Part 26, is to ensure nondiscrimination in the award and administration of federally-funded contracts and to create opportunities for certified Disadvantaged Business Enterprises (DBEs). Our aim is to enhance the participation of DBEs in our contracting and procurement processes, ultimately promoting diversity and economic growth within our organization and the communities we serve</w:t>
      </w:r>
      <w:r w:rsidRPr="004155B3" w:rsidR="00387078">
        <w:rPr>
          <w:sz w:val="22"/>
          <w:szCs w:val="22"/>
        </w:rPr>
        <w:t>, while fostering an inclusive and equitable environment.</w:t>
      </w:r>
    </w:p>
    <w:p w:rsidRPr="004155B3" w:rsidR="00D13119" w:rsidP="006970ED" w:rsidRDefault="00D13119" w14:paraId="1DF94B43" w14:textId="77777777">
      <w:pPr>
        <w:jc w:val="both"/>
        <w:rPr>
          <w:sz w:val="22"/>
          <w:szCs w:val="22"/>
        </w:rPr>
      </w:pPr>
    </w:p>
    <w:p w:rsidRPr="004155B3" w:rsidR="00D13119" w:rsidP="006970ED" w:rsidRDefault="00D13119" w14:paraId="5FD38A5A" w14:textId="18B726D4">
      <w:pPr>
        <w:jc w:val="both"/>
        <w:rPr>
          <w:sz w:val="22"/>
          <w:szCs w:val="22"/>
        </w:rPr>
      </w:pPr>
      <w:r w:rsidRPr="004155B3">
        <w:rPr>
          <w:sz w:val="22"/>
          <w:szCs w:val="22"/>
        </w:rPr>
        <w:t xml:space="preserve">This DBE Overall Goal document reflects SacRT's commitment to complying with the requirements of 49 CFR Part 26 while promoting diversity, equity, and inclusion. By implementing these objectives, strategies, and actions, </w:t>
      </w:r>
      <w:r w:rsidRPr="004155B3" w:rsidR="000F20CC">
        <w:rPr>
          <w:sz w:val="22"/>
          <w:szCs w:val="22"/>
        </w:rPr>
        <w:t>SacRT</w:t>
      </w:r>
      <w:r w:rsidRPr="004155B3">
        <w:rPr>
          <w:sz w:val="22"/>
          <w:szCs w:val="22"/>
        </w:rPr>
        <w:t xml:space="preserve"> will work towards creating a level playing field for all businesses and enhancing the participation of certified DBEs in our contracting and procurement processes. We recognize that achieving these goals requires ongoing effort, monitoring, and improvement. Together, we can contribute to the economic growth and inclusivity of our organization and the communities we serve.</w:t>
      </w:r>
    </w:p>
    <w:p w:rsidRPr="004155B3" w:rsidR="000A5182" w:rsidP="006970ED" w:rsidRDefault="000A5182" w14:paraId="5458B419" w14:textId="77777777">
      <w:pPr>
        <w:jc w:val="both"/>
        <w:rPr>
          <w:sz w:val="22"/>
          <w:szCs w:val="22"/>
        </w:rPr>
      </w:pPr>
    </w:p>
    <w:p w:rsidRPr="004155B3" w:rsidR="000678FC" w:rsidP="000678FC" w:rsidRDefault="000678FC" w14:paraId="072EEC29" w14:textId="77777777">
      <w:pPr>
        <w:widowControl/>
        <w:numPr>
          <w:ilvl w:val="0"/>
          <w:numId w:val="7"/>
        </w:numPr>
        <w:spacing w:before="4"/>
        <w:ind w:left="720"/>
        <w:rPr>
          <w:rFonts w:eastAsia="Calibri Light" w:cs="Arial"/>
          <w:b/>
          <w:snapToGrid/>
          <w:color w:val="2E5395"/>
          <w:szCs w:val="22"/>
          <w:u w:val="single"/>
        </w:rPr>
      </w:pPr>
      <w:r w:rsidRPr="004155B3">
        <w:rPr>
          <w:rFonts w:eastAsia="Calibri Light" w:cs="Arial"/>
          <w:b/>
          <w:snapToGrid/>
          <w:color w:val="2E5395"/>
          <w:szCs w:val="22"/>
          <w:u w:val="single"/>
        </w:rPr>
        <w:t>EXECUTIVE SUMMARY</w:t>
      </w:r>
    </w:p>
    <w:p w:rsidRPr="004155B3" w:rsidR="000678FC" w:rsidP="006970ED" w:rsidRDefault="000678FC" w14:paraId="577D90F5" w14:textId="77777777">
      <w:pPr>
        <w:jc w:val="both"/>
        <w:rPr>
          <w:sz w:val="22"/>
          <w:szCs w:val="22"/>
        </w:rPr>
      </w:pPr>
    </w:p>
    <w:p w:rsidR="006970ED" w:rsidP="006970ED" w:rsidRDefault="006970ED" w14:paraId="4E07BA28" w14:textId="734F56E8">
      <w:pPr>
        <w:jc w:val="both"/>
        <w:rPr>
          <w:sz w:val="22"/>
          <w:szCs w:val="22"/>
        </w:rPr>
      </w:pPr>
      <w:r w:rsidRPr="004155B3">
        <w:rPr>
          <w:sz w:val="22"/>
          <w:szCs w:val="22"/>
        </w:rPr>
        <w:t xml:space="preserve">SacRT is required to establish an overall </w:t>
      </w:r>
      <w:r w:rsidRPr="004155B3" w:rsidR="0025762C">
        <w:rPr>
          <w:sz w:val="22"/>
          <w:szCs w:val="22"/>
        </w:rPr>
        <w:t>t</w:t>
      </w:r>
      <w:r w:rsidRPr="004155B3">
        <w:rPr>
          <w:sz w:val="22"/>
          <w:szCs w:val="22"/>
        </w:rPr>
        <w:t>riennial Disadvantaged Business Enterprise Goal (Triennial Goal) for its federally-assisted contracting activity and submit the applicable methodology to the Federal Transit Administration (FTA) for approval. Disadvantaged Business Enterprise (DBE) goals are set and managed on a Federal Fiscal Year (FFY) basis</w:t>
      </w:r>
      <w:r w:rsidR="005B04A4">
        <w:rPr>
          <w:sz w:val="22"/>
          <w:szCs w:val="22"/>
        </w:rPr>
        <w:t xml:space="preserve">. </w:t>
      </w:r>
      <w:r w:rsidRPr="004155B3">
        <w:rPr>
          <w:sz w:val="22"/>
          <w:szCs w:val="22"/>
        </w:rPr>
        <w:t xml:space="preserve">This document presents SacRT’s Triennial Goal for </w:t>
      </w:r>
      <w:r w:rsidRPr="004155B3" w:rsidR="00735243">
        <w:rPr>
          <w:sz w:val="22"/>
          <w:szCs w:val="22"/>
        </w:rPr>
        <w:t>FFY 202</w:t>
      </w:r>
      <w:r w:rsidRPr="004155B3" w:rsidR="000327F1">
        <w:rPr>
          <w:sz w:val="22"/>
          <w:szCs w:val="22"/>
        </w:rPr>
        <w:t>4</w:t>
      </w:r>
      <w:r w:rsidRPr="004155B3" w:rsidR="00735243">
        <w:rPr>
          <w:sz w:val="22"/>
          <w:szCs w:val="22"/>
        </w:rPr>
        <w:t xml:space="preserve"> – 202</w:t>
      </w:r>
      <w:r w:rsidRPr="004155B3" w:rsidR="000327F1">
        <w:rPr>
          <w:sz w:val="22"/>
          <w:szCs w:val="22"/>
        </w:rPr>
        <w:t>6</w:t>
      </w:r>
      <w:r w:rsidRPr="004155B3" w:rsidR="00735243">
        <w:rPr>
          <w:sz w:val="22"/>
          <w:szCs w:val="22"/>
        </w:rPr>
        <w:t xml:space="preserve"> </w:t>
      </w:r>
      <w:r w:rsidRPr="004155B3">
        <w:rPr>
          <w:sz w:val="22"/>
          <w:szCs w:val="22"/>
        </w:rPr>
        <w:t xml:space="preserve">as well as the methodology used to establish the goal. SacRT’s methodology follows a </w:t>
      </w:r>
      <w:r w:rsidRPr="004155B3" w:rsidR="00705356">
        <w:rPr>
          <w:sz w:val="22"/>
          <w:szCs w:val="22"/>
        </w:rPr>
        <w:t>two</w:t>
      </w:r>
      <w:r w:rsidRPr="004155B3">
        <w:rPr>
          <w:sz w:val="22"/>
          <w:szCs w:val="22"/>
        </w:rPr>
        <w:t xml:space="preserve">-step process, consistent with the requirements contained in 49 CFR </w:t>
      </w:r>
      <w:r w:rsidRPr="004155B3" w:rsidR="00C47ECA">
        <w:rPr>
          <w:sz w:val="22"/>
          <w:szCs w:val="22"/>
        </w:rPr>
        <w:t>Part</w:t>
      </w:r>
      <w:r w:rsidRPr="004155B3">
        <w:rPr>
          <w:sz w:val="22"/>
          <w:szCs w:val="22"/>
        </w:rPr>
        <w:t xml:space="preserve"> 26.45:</w:t>
      </w:r>
    </w:p>
    <w:p w:rsidR="00241BB7" w:rsidP="006970ED" w:rsidRDefault="00241BB7" w14:paraId="17572336" w14:textId="77777777">
      <w:pPr>
        <w:jc w:val="both"/>
        <w:rPr>
          <w:sz w:val="22"/>
          <w:szCs w:val="22"/>
        </w:rPr>
      </w:pPr>
    </w:p>
    <w:p w:rsidRPr="00D54673" w:rsidR="00D54673" w:rsidP="00D54673" w:rsidRDefault="00D54673" w14:paraId="7D908B89" w14:textId="77777777">
      <w:pPr>
        <w:ind w:left="720"/>
        <w:jc w:val="both"/>
        <w:rPr>
          <w:sz w:val="22"/>
          <w:szCs w:val="22"/>
        </w:rPr>
      </w:pPr>
      <w:r w:rsidRPr="00D54673">
        <w:rPr>
          <w:sz w:val="22"/>
          <w:szCs w:val="22"/>
        </w:rPr>
        <w:t>1. Determine a base figure for the relative availability of DBEs</w:t>
      </w:r>
    </w:p>
    <w:p w:rsidRPr="004155B3" w:rsidR="00241BB7" w:rsidP="00D54673" w:rsidRDefault="00D54673" w14:paraId="4FBC24F7" w14:textId="2D45F0F2">
      <w:pPr>
        <w:ind w:left="720"/>
        <w:jc w:val="both"/>
        <w:rPr>
          <w:sz w:val="22"/>
          <w:szCs w:val="22"/>
        </w:rPr>
      </w:pPr>
      <w:r w:rsidRPr="00D54673">
        <w:rPr>
          <w:sz w:val="22"/>
          <w:szCs w:val="22"/>
        </w:rPr>
        <w:t>2. Adjust the base figure, if necessary</w:t>
      </w:r>
    </w:p>
    <w:p w:rsidRPr="004155B3" w:rsidR="006970ED" w:rsidP="006970ED" w:rsidRDefault="006970ED" w14:paraId="197D6F3E" w14:textId="77777777">
      <w:pPr>
        <w:rPr>
          <w:sz w:val="22"/>
          <w:szCs w:val="22"/>
        </w:rPr>
      </w:pPr>
    </w:p>
    <w:p w:rsidRPr="004155B3" w:rsidR="006970ED" w:rsidP="006970ED" w:rsidRDefault="00735243" w14:paraId="77C0CDFB" w14:textId="0EBA0763">
      <w:pPr>
        <w:jc w:val="both"/>
        <w:rPr>
          <w:sz w:val="22"/>
          <w:szCs w:val="18"/>
          <w:highlight w:val="green"/>
        </w:rPr>
      </w:pPr>
      <w:r w:rsidRPr="004155B3">
        <w:rPr>
          <w:sz w:val="22"/>
          <w:szCs w:val="18"/>
        </w:rPr>
        <w:t>SacRT staff reviewed its contracting activities and DBE utilization for the period FFYs 20</w:t>
      </w:r>
      <w:r w:rsidRPr="004155B3" w:rsidR="00282609">
        <w:rPr>
          <w:sz w:val="22"/>
          <w:szCs w:val="18"/>
        </w:rPr>
        <w:t>20</w:t>
      </w:r>
      <w:r w:rsidRPr="004155B3">
        <w:rPr>
          <w:sz w:val="22"/>
          <w:szCs w:val="18"/>
        </w:rPr>
        <w:t>- 202</w:t>
      </w:r>
      <w:r w:rsidRPr="004155B3" w:rsidR="005B7112">
        <w:rPr>
          <w:sz w:val="22"/>
          <w:szCs w:val="18"/>
        </w:rPr>
        <w:t>3</w:t>
      </w:r>
      <w:r w:rsidR="007E00AE">
        <w:rPr>
          <w:sz w:val="22"/>
          <w:szCs w:val="18"/>
        </w:rPr>
        <w:t xml:space="preserve"> and </w:t>
      </w:r>
      <w:r w:rsidRPr="008E7FF9">
        <w:rPr>
          <w:sz w:val="22"/>
          <w:szCs w:val="22"/>
        </w:rPr>
        <w:t xml:space="preserve">proposes a </w:t>
      </w:r>
      <w:r w:rsidRPr="008E7FF9">
        <w:rPr>
          <w:b/>
          <w:bCs/>
          <w:sz w:val="22"/>
          <w:szCs w:val="22"/>
        </w:rPr>
        <w:t xml:space="preserve">Triennial </w:t>
      </w:r>
      <w:r w:rsidRPr="008E7FF9" w:rsidR="00807ECD">
        <w:rPr>
          <w:b/>
          <w:bCs/>
          <w:sz w:val="22"/>
          <w:szCs w:val="22"/>
        </w:rPr>
        <w:t xml:space="preserve">Overall </w:t>
      </w:r>
      <w:r w:rsidRPr="008E7FF9">
        <w:rPr>
          <w:b/>
          <w:bCs/>
          <w:sz w:val="22"/>
          <w:szCs w:val="22"/>
        </w:rPr>
        <w:t>DBE Goal for FFY 202</w:t>
      </w:r>
      <w:r w:rsidRPr="008E7FF9" w:rsidR="00807ECD">
        <w:rPr>
          <w:b/>
          <w:bCs/>
          <w:sz w:val="22"/>
          <w:szCs w:val="22"/>
        </w:rPr>
        <w:t>4</w:t>
      </w:r>
      <w:r w:rsidRPr="008E7FF9">
        <w:rPr>
          <w:b/>
          <w:bCs/>
          <w:sz w:val="22"/>
          <w:szCs w:val="22"/>
        </w:rPr>
        <w:t xml:space="preserve"> – 202</w:t>
      </w:r>
      <w:r w:rsidRPr="008E7FF9" w:rsidR="00807ECD">
        <w:rPr>
          <w:b/>
          <w:bCs/>
          <w:sz w:val="22"/>
          <w:szCs w:val="22"/>
        </w:rPr>
        <w:t>6</w:t>
      </w:r>
      <w:r w:rsidRPr="008E7FF9">
        <w:rPr>
          <w:b/>
          <w:bCs/>
          <w:sz w:val="22"/>
          <w:szCs w:val="22"/>
        </w:rPr>
        <w:t xml:space="preserve"> </w:t>
      </w:r>
      <w:r w:rsidRPr="008E7FF9" w:rsidR="00F74C99">
        <w:rPr>
          <w:b/>
          <w:bCs/>
          <w:sz w:val="22"/>
          <w:szCs w:val="22"/>
        </w:rPr>
        <w:t>of</w:t>
      </w:r>
      <w:r w:rsidRPr="008E7FF9" w:rsidR="00F74C99">
        <w:rPr>
          <w:sz w:val="22"/>
          <w:szCs w:val="22"/>
        </w:rPr>
        <w:t xml:space="preserve"> </w:t>
      </w:r>
      <w:r w:rsidRPr="008E7FF9" w:rsidR="008E7FF9">
        <w:rPr>
          <w:b/>
          <w:sz w:val="22"/>
          <w:szCs w:val="22"/>
        </w:rPr>
        <w:t>2.2</w:t>
      </w:r>
      <w:r w:rsidR="004F0C28">
        <w:rPr>
          <w:b/>
          <w:sz w:val="22"/>
          <w:szCs w:val="22"/>
        </w:rPr>
        <w:t>6</w:t>
      </w:r>
      <w:r w:rsidRPr="008E7FF9">
        <w:rPr>
          <w:b/>
          <w:sz w:val="22"/>
          <w:szCs w:val="22"/>
        </w:rPr>
        <w:t>%</w:t>
      </w:r>
      <w:r w:rsidRPr="008E7FF9">
        <w:rPr>
          <w:sz w:val="22"/>
          <w:szCs w:val="22"/>
        </w:rPr>
        <w:t xml:space="preserve"> f</w:t>
      </w:r>
      <w:r w:rsidRPr="008E7FF9">
        <w:rPr>
          <w:rFonts w:cs="Arial"/>
          <w:color w:val="000000"/>
          <w:sz w:val="22"/>
          <w:szCs w:val="22"/>
        </w:rPr>
        <w:t xml:space="preserve">or its </w:t>
      </w:r>
      <w:r w:rsidRPr="008E7FF9" w:rsidR="00684D0E">
        <w:rPr>
          <w:rFonts w:cs="Arial"/>
          <w:color w:val="000000"/>
          <w:sz w:val="22"/>
          <w:szCs w:val="22"/>
        </w:rPr>
        <w:t>fe</w:t>
      </w:r>
      <w:r w:rsidRPr="00807ECD" w:rsidR="00684D0E">
        <w:rPr>
          <w:rFonts w:cs="Arial"/>
          <w:color w:val="000000"/>
          <w:sz w:val="22"/>
          <w:szCs w:val="22"/>
        </w:rPr>
        <w:t>derally-</w:t>
      </w:r>
      <w:r w:rsidRPr="00807ECD">
        <w:rPr>
          <w:rFonts w:cs="Arial"/>
          <w:color w:val="000000"/>
          <w:sz w:val="22"/>
          <w:szCs w:val="22"/>
        </w:rPr>
        <w:t xml:space="preserve">assisted transit contracts </w:t>
      </w:r>
      <w:r w:rsidRPr="00807ECD">
        <w:rPr>
          <w:sz w:val="22"/>
          <w:szCs w:val="18"/>
        </w:rPr>
        <w:t>(exclusive of any FTA funds to be used for the purchase of transit vehicles),</w:t>
      </w:r>
      <w:r w:rsidRPr="00807ECD" w:rsidR="006970ED">
        <w:rPr>
          <w:sz w:val="22"/>
          <w:szCs w:val="22"/>
        </w:rPr>
        <w:t xml:space="preserve"> which is planned to be attained using race</w:t>
      </w:r>
      <w:r w:rsidRPr="00807ECD" w:rsidR="00E02BB1">
        <w:rPr>
          <w:sz w:val="22"/>
          <w:szCs w:val="22"/>
        </w:rPr>
        <w:t>-</w:t>
      </w:r>
      <w:r w:rsidRPr="00807ECD" w:rsidR="003C29ED">
        <w:rPr>
          <w:sz w:val="22"/>
          <w:szCs w:val="22"/>
        </w:rPr>
        <w:t xml:space="preserve"> and </w:t>
      </w:r>
      <w:r w:rsidRPr="00807ECD" w:rsidR="006970ED">
        <w:rPr>
          <w:sz w:val="22"/>
          <w:szCs w:val="22"/>
        </w:rPr>
        <w:t>gender-neutral (RN) means.</w:t>
      </w:r>
      <w:r w:rsidRPr="00807ECD" w:rsidR="00535847">
        <w:rPr>
          <w:sz w:val="22"/>
          <w:szCs w:val="22"/>
        </w:rPr>
        <w:t xml:space="preserve"> However</w:t>
      </w:r>
      <w:r w:rsidRPr="007E00AE" w:rsidR="00535847">
        <w:rPr>
          <w:sz w:val="22"/>
          <w:szCs w:val="22"/>
        </w:rPr>
        <w:t xml:space="preserve">, should SacRT determine that it is not on track to meet the DBE goal in any given FFY, SacRT may choose to </w:t>
      </w:r>
      <w:r w:rsidRPr="007E00AE" w:rsidR="009D3FD9">
        <w:rPr>
          <w:sz w:val="22"/>
          <w:szCs w:val="22"/>
        </w:rPr>
        <w:t>use RC methodology pursuant to the goal setting requirements specified in 49 CFR</w:t>
      </w:r>
      <w:r w:rsidRPr="007E00AE" w:rsidR="00C47ECA">
        <w:rPr>
          <w:sz w:val="22"/>
          <w:szCs w:val="22"/>
        </w:rPr>
        <w:t xml:space="preserve"> Part </w:t>
      </w:r>
      <w:r w:rsidRPr="007E00AE" w:rsidR="00817AB1">
        <w:rPr>
          <w:sz w:val="22"/>
          <w:szCs w:val="22"/>
        </w:rPr>
        <w:t>26.51(f).</w:t>
      </w:r>
    </w:p>
    <w:p w:rsidRPr="004155B3" w:rsidR="006970ED" w:rsidP="006970ED" w:rsidRDefault="006970ED" w14:paraId="3AAB03A8" w14:textId="77777777">
      <w:pPr>
        <w:rPr>
          <w:sz w:val="22"/>
          <w:szCs w:val="22"/>
          <w:highlight w:val="cyan"/>
        </w:rPr>
      </w:pPr>
    </w:p>
    <w:p w:rsidRPr="004155B3" w:rsidR="003C29ED" w:rsidP="005524D5" w:rsidRDefault="009C4109" w14:paraId="0CB445D7" w14:textId="77777777">
      <w:pPr>
        <w:widowControl/>
        <w:numPr>
          <w:ilvl w:val="0"/>
          <w:numId w:val="7"/>
        </w:numPr>
        <w:spacing w:before="4"/>
        <w:ind w:left="720"/>
        <w:rPr>
          <w:rFonts w:eastAsia="Calibri Light" w:cs="Arial"/>
          <w:b/>
          <w:snapToGrid/>
          <w:color w:val="2E5395"/>
          <w:szCs w:val="22"/>
          <w:u w:val="single"/>
        </w:rPr>
      </w:pPr>
      <w:r w:rsidRPr="004155B3">
        <w:rPr>
          <w:rFonts w:eastAsia="Calibri Light" w:cs="Arial"/>
          <w:b/>
          <w:snapToGrid/>
          <w:color w:val="2E5395"/>
          <w:szCs w:val="22"/>
          <w:u w:val="single"/>
        </w:rPr>
        <w:t xml:space="preserve">STEP 1: DETERMINATION OF BASE FIGURE FOR THE RELATIVE AVAILABILITY OF DBE FIRMS </w:t>
      </w:r>
    </w:p>
    <w:p w:rsidRPr="004155B3" w:rsidR="003C29ED" w:rsidP="003C29ED" w:rsidRDefault="003C29ED" w14:paraId="7AE8044C" w14:textId="77777777">
      <w:pPr>
        <w:ind w:left="720"/>
        <w:jc w:val="both"/>
        <w:rPr>
          <w:sz w:val="22"/>
          <w:szCs w:val="18"/>
        </w:rPr>
      </w:pPr>
    </w:p>
    <w:p w:rsidRPr="004155B3" w:rsidR="003C29ED" w:rsidP="00D438C2" w:rsidRDefault="003C29ED" w14:paraId="31F9C47B" w14:textId="77777777">
      <w:pPr>
        <w:widowControl/>
        <w:spacing w:before="4"/>
        <w:rPr>
          <w:rFonts w:eastAsia="Calibri Light" w:cs="Arial"/>
          <w:b/>
          <w:snapToGrid/>
          <w:color w:val="2E5395"/>
          <w:sz w:val="22"/>
          <w:szCs w:val="22"/>
          <w:u w:val="single"/>
        </w:rPr>
      </w:pPr>
      <w:r w:rsidRPr="004155B3">
        <w:rPr>
          <w:rFonts w:eastAsia="Calibri Light" w:cs="Arial"/>
          <w:b/>
          <w:snapToGrid/>
          <w:color w:val="2E5395"/>
          <w:sz w:val="22"/>
          <w:szCs w:val="22"/>
          <w:u w:val="single"/>
        </w:rPr>
        <w:t>STEP 1, Part A: Determination of SacRT’s Relevant Geographical Market Area</w:t>
      </w:r>
    </w:p>
    <w:p w:rsidRPr="004155B3" w:rsidR="003C29ED" w:rsidP="003C29ED" w:rsidRDefault="003C29ED" w14:paraId="55F379AD" w14:textId="77777777">
      <w:pPr>
        <w:pStyle w:val="BodyText"/>
        <w:widowControl w:val="0"/>
        <w:rPr>
          <w:strike w:val="0"/>
          <w:snapToGrid w:val="0"/>
          <w:sz w:val="22"/>
          <w:szCs w:val="18"/>
          <w:highlight w:val="cyan"/>
        </w:rPr>
      </w:pPr>
    </w:p>
    <w:p w:rsidRPr="004155B3" w:rsidR="003C29ED" w:rsidP="003C29ED" w:rsidRDefault="003C29ED" w14:paraId="788FB743" w14:textId="3DE04A35">
      <w:pPr>
        <w:pStyle w:val="BodyText"/>
        <w:widowControl w:val="0"/>
        <w:rPr>
          <w:strike w:val="0"/>
          <w:snapToGrid w:val="0"/>
          <w:sz w:val="22"/>
          <w:szCs w:val="18"/>
        </w:rPr>
      </w:pPr>
      <w:r w:rsidRPr="004155B3">
        <w:rPr>
          <w:strike w:val="0"/>
          <w:snapToGrid w:val="0"/>
          <w:sz w:val="22"/>
          <w:szCs w:val="18"/>
        </w:rPr>
        <w:t>49 C.F.R. Part 26 requires that SacRT set goals consistent with its own contracting circumstances. To calculate availability, the relevant geographical market area</w:t>
      </w:r>
      <w:r w:rsidRPr="004155B3" w:rsidR="00873EDD">
        <w:rPr>
          <w:strike w:val="0"/>
          <w:snapToGrid w:val="0"/>
          <w:sz w:val="22"/>
          <w:szCs w:val="18"/>
        </w:rPr>
        <w:t xml:space="preserve"> for SacRT</w:t>
      </w:r>
      <w:r w:rsidRPr="004155B3">
        <w:rPr>
          <w:strike w:val="0"/>
          <w:snapToGrid w:val="0"/>
          <w:sz w:val="22"/>
          <w:szCs w:val="18"/>
        </w:rPr>
        <w:t xml:space="preserve"> must first be determined to set overall goals based on demonstrable evidence of the relative availability of ready, willing, and able DBEs in the area</w:t>
      </w:r>
      <w:r w:rsidRPr="004155B3" w:rsidR="00D85721">
        <w:rPr>
          <w:strike w:val="0"/>
          <w:snapToGrid w:val="0"/>
          <w:sz w:val="22"/>
          <w:szCs w:val="18"/>
        </w:rPr>
        <w:t xml:space="preserve"> </w:t>
      </w:r>
      <w:r w:rsidRPr="004155B3">
        <w:rPr>
          <w:strike w:val="0"/>
          <w:snapToGrid w:val="0"/>
          <w:sz w:val="22"/>
          <w:szCs w:val="18"/>
        </w:rPr>
        <w:t>in which the substantial majority of the contractors and subcontractors with which SacRT does business are located and the area in which SacRT spends the majority of</w:t>
      </w:r>
      <w:r w:rsidRPr="004155B3" w:rsidR="00861FD1">
        <w:rPr>
          <w:strike w:val="0"/>
          <w:snapToGrid w:val="0"/>
          <w:sz w:val="22"/>
          <w:szCs w:val="18"/>
        </w:rPr>
        <w:t xml:space="preserve"> its</w:t>
      </w:r>
      <w:r w:rsidRPr="004155B3">
        <w:rPr>
          <w:strike w:val="0"/>
          <w:snapToGrid w:val="0"/>
          <w:sz w:val="22"/>
          <w:szCs w:val="18"/>
        </w:rPr>
        <w:t xml:space="preserve"> </w:t>
      </w:r>
      <w:r w:rsidRPr="004155B3" w:rsidR="00861FD1">
        <w:rPr>
          <w:strike w:val="0"/>
          <w:snapToGrid w:val="0"/>
          <w:sz w:val="22"/>
          <w:szCs w:val="18"/>
        </w:rPr>
        <w:t xml:space="preserve">Federally-assisted </w:t>
      </w:r>
      <w:r w:rsidRPr="004155B3">
        <w:rPr>
          <w:strike w:val="0"/>
          <w:snapToGrid w:val="0"/>
          <w:sz w:val="22"/>
          <w:szCs w:val="18"/>
        </w:rPr>
        <w:t>contracting dollars.</w:t>
      </w:r>
    </w:p>
    <w:p w:rsidRPr="004155B3" w:rsidR="006A05B8" w:rsidP="003C29ED" w:rsidRDefault="006A05B8" w14:paraId="2A557297" w14:textId="77777777">
      <w:pPr>
        <w:jc w:val="both"/>
        <w:rPr>
          <w:sz w:val="22"/>
          <w:szCs w:val="18"/>
        </w:rPr>
      </w:pPr>
    </w:p>
    <w:p w:rsidRPr="004155B3" w:rsidR="00FB2680" w:rsidP="003C29ED" w:rsidRDefault="00861FD1" w14:paraId="471FC660" w14:textId="2FC63AFF">
      <w:pPr>
        <w:jc w:val="both"/>
        <w:rPr>
          <w:sz w:val="22"/>
          <w:szCs w:val="18"/>
        </w:rPr>
      </w:pPr>
      <w:r w:rsidRPr="004155B3">
        <w:rPr>
          <w:sz w:val="22"/>
          <w:szCs w:val="18"/>
        </w:rPr>
        <w:t xml:space="preserve">Federally-assisted </w:t>
      </w:r>
      <w:r w:rsidRPr="004155B3" w:rsidR="003C29ED">
        <w:rPr>
          <w:sz w:val="22"/>
          <w:szCs w:val="18"/>
        </w:rPr>
        <w:t>Contracts</w:t>
      </w:r>
      <w:r w:rsidRPr="004155B3" w:rsidR="007E7BCB">
        <w:rPr>
          <w:sz w:val="22"/>
          <w:szCs w:val="18"/>
        </w:rPr>
        <w:t xml:space="preserve"> and</w:t>
      </w:r>
      <w:r w:rsidRPr="004155B3" w:rsidR="00A22531">
        <w:rPr>
          <w:sz w:val="22"/>
          <w:szCs w:val="18"/>
        </w:rPr>
        <w:t xml:space="preserve"> </w:t>
      </w:r>
      <w:r w:rsidRPr="004155B3" w:rsidR="007E7BCB">
        <w:rPr>
          <w:sz w:val="22"/>
          <w:szCs w:val="18"/>
        </w:rPr>
        <w:t>Purchase Orders</w:t>
      </w:r>
      <w:r w:rsidRPr="004155B3" w:rsidR="003C29ED">
        <w:rPr>
          <w:sz w:val="22"/>
          <w:szCs w:val="18"/>
        </w:rPr>
        <w:t xml:space="preserve"> awarded during the time period between October 1, 20</w:t>
      </w:r>
      <w:r w:rsidRPr="004155B3" w:rsidR="005B7112">
        <w:rPr>
          <w:sz w:val="22"/>
          <w:szCs w:val="18"/>
        </w:rPr>
        <w:t>20</w:t>
      </w:r>
      <w:r w:rsidRPr="004155B3" w:rsidR="003C29ED">
        <w:rPr>
          <w:sz w:val="22"/>
          <w:szCs w:val="18"/>
        </w:rPr>
        <w:t xml:space="preserve"> and September 30, 20</w:t>
      </w:r>
      <w:r w:rsidRPr="004155B3" w:rsidR="00B76E79">
        <w:rPr>
          <w:sz w:val="22"/>
          <w:szCs w:val="18"/>
        </w:rPr>
        <w:t>22</w:t>
      </w:r>
      <w:r w:rsidRPr="004155B3" w:rsidR="003C29ED">
        <w:rPr>
          <w:sz w:val="22"/>
          <w:szCs w:val="18"/>
        </w:rPr>
        <w:t xml:space="preserve"> were analyzed to determine SacRT’s relevant geographical market area. </w:t>
      </w:r>
      <w:r w:rsidRPr="004155B3" w:rsidR="00D041C7">
        <w:rPr>
          <w:sz w:val="22"/>
          <w:szCs w:val="18"/>
        </w:rPr>
        <w:t xml:space="preserve">The awards consist of various service and construction contracts and supply and material purchases. </w:t>
      </w:r>
      <w:r w:rsidRPr="004155B3" w:rsidR="003C29ED">
        <w:rPr>
          <w:sz w:val="22"/>
          <w:szCs w:val="18"/>
        </w:rPr>
        <w:t xml:space="preserve">The </w:t>
      </w:r>
      <w:r w:rsidRPr="004155B3" w:rsidR="00586721">
        <w:rPr>
          <w:sz w:val="22"/>
          <w:szCs w:val="18"/>
        </w:rPr>
        <w:t xml:space="preserve">awards </w:t>
      </w:r>
      <w:r w:rsidRPr="004155B3" w:rsidR="003C29ED">
        <w:rPr>
          <w:sz w:val="22"/>
          <w:szCs w:val="18"/>
        </w:rPr>
        <w:t xml:space="preserve">were identified by </w:t>
      </w:r>
      <w:r w:rsidRPr="004155B3" w:rsidR="007D6738">
        <w:rPr>
          <w:sz w:val="22"/>
          <w:szCs w:val="18"/>
        </w:rPr>
        <w:t>funding source</w:t>
      </w:r>
      <w:r w:rsidRPr="004155B3" w:rsidR="003C29ED">
        <w:rPr>
          <w:sz w:val="22"/>
          <w:szCs w:val="18"/>
        </w:rPr>
        <w:t xml:space="preserve">, prime contractor, </w:t>
      </w:r>
      <w:r w:rsidRPr="004155B3" w:rsidR="003F1F05">
        <w:rPr>
          <w:sz w:val="22"/>
          <w:szCs w:val="18"/>
        </w:rPr>
        <w:t>and prime</w:t>
      </w:r>
      <w:r w:rsidRPr="004155B3" w:rsidR="003C29ED">
        <w:rPr>
          <w:sz w:val="22"/>
          <w:szCs w:val="18"/>
        </w:rPr>
        <w:t xml:space="preserve"> contractor location (grouped by county). </w:t>
      </w:r>
    </w:p>
    <w:p w:rsidRPr="004155B3" w:rsidR="00FB2680" w:rsidP="003C29ED" w:rsidRDefault="00FB2680" w14:paraId="07A22E4F" w14:textId="77777777">
      <w:pPr>
        <w:jc w:val="both"/>
        <w:rPr>
          <w:sz w:val="22"/>
          <w:szCs w:val="18"/>
          <w:highlight w:val="green"/>
        </w:rPr>
      </w:pPr>
    </w:p>
    <w:p w:rsidRPr="004155B3" w:rsidR="00E608FD" w:rsidP="003672C8" w:rsidRDefault="00856046" w14:paraId="14E8160D" w14:textId="2928AB7C">
      <w:pPr>
        <w:widowControl/>
        <w:jc w:val="center"/>
        <w:rPr>
          <w:b/>
          <w:bCs/>
          <w:sz w:val="22"/>
          <w:szCs w:val="18"/>
        </w:rPr>
      </w:pPr>
      <w:r>
        <w:rPr>
          <w:b/>
          <w:bCs/>
          <w:sz w:val="22"/>
          <w:szCs w:val="18"/>
        </w:rPr>
        <w:br w:type="page"/>
      </w:r>
      <w:r w:rsidRPr="004155B3" w:rsidR="00E608FD">
        <w:rPr>
          <w:b/>
          <w:bCs/>
          <w:sz w:val="22"/>
          <w:szCs w:val="18"/>
        </w:rPr>
        <w:lastRenderedPageBreak/>
        <w:t xml:space="preserve">Table 1: </w:t>
      </w:r>
      <w:r w:rsidRPr="004155B3" w:rsidR="00F327DE">
        <w:rPr>
          <w:b/>
          <w:bCs/>
          <w:sz w:val="22"/>
          <w:szCs w:val="18"/>
        </w:rPr>
        <w:t xml:space="preserve">Relevant Geographical </w:t>
      </w:r>
      <w:r w:rsidRPr="004155B3" w:rsidR="00E608FD">
        <w:rPr>
          <w:b/>
          <w:bCs/>
          <w:sz w:val="22"/>
          <w:szCs w:val="18"/>
        </w:rPr>
        <w:t>Market Area</w:t>
      </w:r>
    </w:p>
    <w:p w:rsidR="00C67D54" w:rsidP="00680036" w:rsidRDefault="00DF7B32" w14:paraId="3E815D8A" w14:textId="525F82F9">
      <w:pPr>
        <w:jc w:val="center"/>
      </w:pPr>
      <w:r w:rsidRPr="00DF7B32">
        <w:rPr>
          <w:noProof/>
        </w:rPr>
        <w:drawing>
          <wp:inline distT="0" distB="0" distL="0" distR="0" wp14:anchorId="61256E0E" wp14:editId="04A3D3A9">
            <wp:extent cx="4762831" cy="3854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3121" cy="3863008"/>
                    </a:xfrm>
                    <a:prstGeom prst="rect">
                      <a:avLst/>
                    </a:prstGeom>
                    <a:noFill/>
                    <a:ln>
                      <a:noFill/>
                    </a:ln>
                  </pic:spPr>
                </pic:pic>
              </a:graphicData>
            </a:graphic>
          </wp:inline>
        </w:drawing>
      </w:r>
    </w:p>
    <w:p w:rsidRPr="00856046" w:rsidR="00343C0C" w:rsidP="00680036" w:rsidRDefault="00343C0C" w14:paraId="35C04FF1" w14:textId="77777777">
      <w:pPr>
        <w:jc w:val="center"/>
        <w:rPr>
          <w:sz w:val="22"/>
          <w:szCs w:val="18"/>
        </w:rPr>
      </w:pPr>
    </w:p>
    <w:p w:rsidRPr="00856046" w:rsidR="00343C0C" w:rsidP="00343C0C" w:rsidRDefault="00343C0C" w14:paraId="7254213F" w14:textId="77777777">
      <w:pPr>
        <w:jc w:val="both"/>
        <w:rPr>
          <w:sz w:val="22"/>
          <w:szCs w:val="18"/>
        </w:rPr>
      </w:pPr>
      <w:r w:rsidRPr="00856046">
        <w:rPr>
          <w:sz w:val="22"/>
          <w:szCs w:val="18"/>
        </w:rPr>
        <w:t xml:space="preserve">Data was compiled from SacRT’s PlanetBids Contract Management database and SacRT’s SAP enterprise management software system. Analysis showed that 62.97% of SacRT’s Federally-assisted awards were to firms located in California. Of the California awards, 43.10% were to firms located in the </w:t>
      </w:r>
      <w:r w:rsidRPr="00856046">
        <w:rPr>
          <w:b/>
          <w:sz w:val="22"/>
          <w:szCs w:val="18"/>
        </w:rPr>
        <w:t>Counties of Sacramento and Placer</w:t>
      </w:r>
      <w:r w:rsidRPr="00856046">
        <w:rPr>
          <w:bCs/>
          <w:sz w:val="22"/>
          <w:szCs w:val="18"/>
        </w:rPr>
        <w:t>,</w:t>
      </w:r>
      <w:r w:rsidRPr="00856046">
        <w:rPr>
          <w:sz w:val="22"/>
          <w:szCs w:val="18"/>
        </w:rPr>
        <w:t xml:space="preserve"> constituting 68.45% of the total California award commitments; these two counties will be used as SacRT’s relevant market area for this goal setting period.</w:t>
      </w:r>
    </w:p>
    <w:p w:rsidRPr="00856046" w:rsidR="003C29ED" w:rsidP="00D438C2" w:rsidRDefault="003C29ED" w14:paraId="17652082" w14:textId="77777777">
      <w:pPr>
        <w:widowControl/>
        <w:spacing w:before="4"/>
        <w:rPr>
          <w:rFonts w:eastAsia="Calibri Light"/>
          <w:sz w:val="20"/>
          <w:szCs w:val="16"/>
        </w:rPr>
      </w:pPr>
    </w:p>
    <w:p w:rsidRPr="00856046" w:rsidR="00D1228A" w:rsidP="00D438C2" w:rsidRDefault="003C29ED" w14:paraId="1D9CDBAB" w14:textId="3A4E6837">
      <w:pPr>
        <w:widowControl/>
        <w:spacing w:before="4"/>
        <w:rPr>
          <w:rFonts w:eastAsia="Calibri Light" w:cs="Arial"/>
          <w:b/>
          <w:snapToGrid/>
          <w:color w:val="2E5395"/>
          <w:sz w:val="22"/>
          <w:szCs w:val="22"/>
          <w:u w:val="single"/>
        </w:rPr>
      </w:pPr>
      <w:r w:rsidRPr="00856046">
        <w:rPr>
          <w:rFonts w:eastAsia="Calibri Light" w:cs="Arial"/>
          <w:b/>
          <w:snapToGrid/>
          <w:color w:val="2E5395"/>
          <w:sz w:val="22"/>
          <w:szCs w:val="22"/>
          <w:u w:val="single"/>
        </w:rPr>
        <w:t xml:space="preserve">STEP 1, Part B: </w:t>
      </w:r>
      <w:r w:rsidRPr="00856046" w:rsidR="00A5181B">
        <w:rPr>
          <w:rFonts w:eastAsia="Calibri Light" w:cs="Arial"/>
          <w:b/>
          <w:snapToGrid/>
          <w:color w:val="2E5395"/>
          <w:sz w:val="22"/>
          <w:szCs w:val="22"/>
          <w:u w:val="single"/>
        </w:rPr>
        <w:t>Projected FTA</w:t>
      </w:r>
      <w:r w:rsidRPr="00856046" w:rsidR="00C57295">
        <w:rPr>
          <w:rFonts w:eastAsia="Calibri Light" w:cs="Arial"/>
          <w:b/>
          <w:snapToGrid/>
          <w:color w:val="2E5395"/>
          <w:sz w:val="22"/>
          <w:szCs w:val="22"/>
          <w:u w:val="single"/>
        </w:rPr>
        <w:t>-</w:t>
      </w:r>
      <w:r w:rsidRPr="00856046" w:rsidR="00A5181B">
        <w:rPr>
          <w:rFonts w:eastAsia="Calibri Light" w:cs="Arial"/>
          <w:b/>
          <w:snapToGrid/>
          <w:color w:val="2E5395"/>
          <w:sz w:val="22"/>
          <w:szCs w:val="22"/>
          <w:u w:val="single"/>
        </w:rPr>
        <w:t>Funded Contracting Activity for FFY 202</w:t>
      </w:r>
      <w:r w:rsidRPr="00856046" w:rsidR="0038343B">
        <w:rPr>
          <w:rFonts w:eastAsia="Calibri Light" w:cs="Arial"/>
          <w:b/>
          <w:snapToGrid/>
          <w:color w:val="2E5395"/>
          <w:sz w:val="22"/>
          <w:szCs w:val="22"/>
          <w:u w:val="single"/>
        </w:rPr>
        <w:t>4</w:t>
      </w:r>
      <w:r w:rsidRPr="00856046" w:rsidR="00A5181B">
        <w:rPr>
          <w:rFonts w:eastAsia="Calibri Light" w:cs="Arial"/>
          <w:b/>
          <w:snapToGrid/>
          <w:color w:val="2E5395"/>
          <w:sz w:val="22"/>
          <w:szCs w:val="22"/>
          <w:u w:val="single"/>
        </w:rPr>
        <w:t>-202</w:t>
      </w:r>
      <w:r w:rsidRPr="00856046" w:rsidR="0038343B">
        <w:rPr>
          <w:rFonts w:eastAsia="Calibri Light" w:cs="Arial"/>
          <w:b/>
          <w:snapToGrid/>
          <w:color w:val="2E5395"/>
          <w:sz w:val="22"/>
          <w:szCs w:val="22"/>
          <w:u w:val="single"/>
        </w:rPr>
        <w:t>6</w:t>
      </w:r>
    </w:p>
    <w:p w:rsidRPr="00856046" w:rsidR="00D1228A" w:rsidP="00D1228A" w:rsidRDefault="00D1228A" w14:paraId="25A3EAB1" w14:textId="77777777">
      <w:pPr>
        <w:jc w:val="both"/>
        <w:rPr>
          <w:sz w:val="22"/>
          <w:szCs w:val="22"/>
        </w:rPr>
      </w:pPr>
    </w:p>
    <w:p w:rsidR="00735243" w:rsidP="00A5181B" w:rsidRDefault="00A5181B" w14:paraId="1C6F4B4A" w14:textId="50DE238A">
      <w:pPr>
        <w:jc w:val="both"/>
        <w:rPr>
          <w:sz w:val="22"/>
          <w:szCs w:val="22"/>
        </w:rPr>
      </w:pPr>
      <w:r w:rsidRPr="00856046">
        <w:rPr>
          <w:sz w:val="22"/>
          <w:szCs w:val="22"/>
        </w:rPr>
        <w:t xml:space="preserve">To calculate the Step 1 Base Figure, SacRT staff compiled a list of </w:t>
      </w:r>
      <w:r w:rsidRPr="00856046" w:rsidR="00C76E05">
        <w:rPr>
          <w:sz w:val="22"/>
          <w:szCs w:val="22"/>
        </w:rPr>
        <w:t>Federally</w:t>
      </w:r>
      <w:r w:rsidRPr="00856046" w:rsidR="00C57295">
        <w:rPr>
          <w:sz w:val="22"/>
          <w:szCs w:val="22"/>
        </w:rPr>
        <w:t>-</w:t>
      </w:r>
      <w:r w:rsidRPr="00856046" w:rsidR="008A14A1">
        <w:rPr>
          <w:sz w:val="22"/>
          <w:szCs w:val="22"/>
        </w:rPr>
        <w:t xml:space="preserve">assisted </w:t>
      </w:r>
      <w:r w:rsidRPr="00856046" w:rsidR="00C76E05">
        <w:rPr>
          <w:sz w:val="22"/>
          <w:szCs w:val="22"/>
        </w:rPr>
        <w:t>C</w:t>
      </w:r>
      <w:r w:rsidRPr="00856046">
        <w:rPr>
          <w:sz w:val="22"/>
          <w:szCs w:val="22"/>
        </w:rPr>
        <w:t xml:space="preserve">ontracts </w:t>
      </w:r>
      <w:r w:rsidRPr="00856046" w:rsidR="00C76E05">
        <w:rPr>
          <w:sz w:val="22"/>
          <w:szCs w:val="22"/>
        </w:rPr>
        <w:t xml:space="preserve">that are anticipated </w:t>
      </w:r>
      <w:r w:rsidRPr="00856046">
        <w:rPr>
          <w:sz w:val="22"/>
          <w:szCs w:val="22"/>
        </w:rPr>
        <w:t>to be awarded in FFY</w:t>
      </w:r>
      <w:r w:rsidRPr="00856046" w:rsidR="0038343B">
        <w:rPr>
          <w:sz w:val="22"/>
          <w:szCs w:val="22"/>
        </w:rPr>
        <w:t xml:space="preserve"> 2024</w:t>
      </w:r>
      <w:r w:rsidRPr="00856046">
        <w:rPr>
          <w:sz w:val="22"/>
          <w:szCs w:val="22"/>
        </w:rPr>
        <w:t>-</w:t>
      </w:r>
      <w:r w:rsidRPr="00856046" w:rsidR="0038343B">
        <w:rPr>
          <w:sz w:val="22"/>
          <w:szCs w:val="22"/>
        </w:rPr>
        <w:t>2026</w:t>
      </w:r>
      <w:r w:rsidRPr="00856046" w:rsidR="00735243">
        <w:rPr>
          <w:sz w:val="22"/>
          <w:szCs w:val="22"/>
        </w:rPr>
        <w:t xml:space="preserve">. </w:t>
      </w:r>
    </w:p>
    <w:p w:rsidR="00DA431A" w:rsidP="00A5181B" w:rsidRDefault="00DA431A" w14:paraId="56BF4999" w14:textId="77777777">
      <w:pPr>
        <w:jc w:val="both"/>
        <w:rPr>
          <w:sz w:val="22"/>
          <w:szCs w:val="22"/>
        </w:rPr>
      </w:pPr>
    </w:p>
    <w:p w:rsidRPr="00FF0C1C" w:rsidR="00DA431A" w:rsidP="00FF0C1C" w:rsidRDefault="00DA431A" w14:paraId="01DDB25C" w14:textId="33117164">
      <w:pPr>
        <w:jc w:val="center"/>
        <w:rPr>
          <w:b/>
          <w:bCs/>
          <w:sz w:val="22"/>
          <w:szCs w:val="22"/>
        </w:rPr>
      </w:pPr>
      <w:r w:rsidRPr="00FF0C1C">
        <w:rPr>
          <w:b/>
          <w:bCs/>
          <w:sz w:val="22"/>
          <w:szCs w:val="22"/>
        </w:rPr>
        <w:t>Table 2</w:t>
      </w:r>
      <w:r w:rsidRPr="00FF0C1C" w:rsidR="00FF0C1C">
        <w:rPr>
          <w:b/>
          <w:bCs/>
          <w:sz w:val="22"/>
          <w:szCs w:val="22"/>
        </w:rPr>
        <w:t xml:space="preserve">: </w:t>
      </w:r>
      <w:r w:rsidR="00FF0C1C">
        <w:rPr>
          <w:b/>
          <w:bCs/>
          <w:sz w:val="22"/>
          <w:szCs w:val="22"/>
        </w:rPr>
        <w:t xml:space="preserve">Anticipated </w:t>
      </w:r>
      <w:r w:rsidRPr="00FF0C1C" w:rsidR="00FF0C1C">
        <w:rPr>
          <w:b/>
          <w:bCs/>
          <w:sz w:val="22"/>
          <w:szCs w:val="22"/>
        </w:rPr>
        <w:t>Contracts</w:t>
      </w:r>
    </w:p>
    <w:p w:rsidRPr="00856046" w:rsidR="00FF0C1C" w:rsidP="00A5181B" w:rsidRDefault="000C394C" w14:paraId="3C0B9B22" w14:textId="7D08B8E9">
      <w:pPr>
        <w:jc w:val="both"/>
        <w:rPr>
          <w:sz w:val="22"/>
          <w:szCs w:val="22"/>
        </w:rPr>
      </w:pPr>
      <w:r w:rsidRPr="00091441">
        <w:rPr>
          <w:noProof/>
        </w:rPr>
        <w:drawing>
          <wp:inline distT="0" distB="0" distL="0" distR="0" wp14:anchorId="52AAC013" wp14:editId="6F4F77F4">
            <wp:extent cx="6400800" cy="2593975"/>
            <wp:effectExtent l="0" t="0" r="0" b="0"/>
            <wp:docPr id="1835157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593975"/>
                    </a:xfrm>
                    <a:prstGeom prst="rect">
                      <a:avLst/>
                    </a:prstGeom>
                    <a:noFill/>
                    <a:ln>
                      <a:noFill/>
                    </a:ln>
                  </pic:spPr>
                </pic:pic>
              </a:graphicData>
            </a:graphic>
          </wp:inline>
        </w:drawing>
      </w:r>
    </w:p>
    <w:p w:rsidRPr="00856046" w:rsidR="00A5181B" w:rsidP="00A5181B" w:rsidRDefault="00A5181B" w14:paraId="74A81831" w14:textId="77777777">
      <w:pPr>
        <w:jc w:val="both"/>
        <w:rPr>
          <w:sz w:val="22"/>
          <w:szCs w:val="22"/>
        </w:rPr>
      </w:pPr>
    </w:p>
    <w:p w:rsidRPr="00856046" w:rsidR="00343C0C" w:rsidP="005524D5" w:rsidRDefault="00343C0C" w14:paraId="5CDC1F8B" w14:textId="0824FE86">
      <w:pPr>
        <w:jc w:val="both"/>
        <w:rPr>
          <w:sz w:val="22"/>
          <w:szCs w:val="18"/>
        </w:rPr>
      </w:pPr>
      <w:r w:rsidRPr="00856046">
        <w:rPr>
          <w:sz w:val="22"/>
          <w:szCs w:val="18"/>
          <w:u w:val="single"/>
        </w:rPr>
        <w:lastRenderedPageBreak/>
        <w:t>Dos Rios Light Rail Station</w:t>
      </w:r>
      <w:r w:rsidRPr="00856046">
        <w:rPr>
          <w:sz w:val="22"/>
          <w:szCs w:val="18"/>
        </w:rPr>
        <w:t xml:space="preserve">: </w:t>
      </w:r>
      <w:r w:rsidRPr="00856046" w:rsidR="00F742F1">
        <w:rPr>
          <w:sz w:val="22"/>
          <w:szCs w:val="18"/>
        </w:rPr>
        <w:t>SacRT is partnering with SHRA to design and construct a light rail station on the NE corridor between North B Street and Richards Blvd. on North 12th Street in downtown Sacramento. The project requires track realignment, signaling modifications, and system upgrades to allow for the construction of the new light rail station. 1,400 feet of double track and special trackwork need to be reconstructed to shift the alignment out of N. 12th Street to allow for the new platforms.</w:t>
      </w:r>
    </w:p>
    <w:p w:rsidRPr="00856046" w:rsidR="00343C0C" w:rsidP="005524D5" w:rsidRDefault="00343C0C" w14:paraId="3B5802BE" w14:textId="77777777">
      <w:pPr>
        <w:jc w:val="both"/>
        <w:rPr>
          <w:sz w:val="22"/>
          <w:szCs w:val="18"/>
        </w:rPr>
      </w:pPr>
    </w:p>
    <w:p w:rsidRPr="00856046" w:rsidR="002E1820" w:rsidP="005D36EA" w:rsidRDefault="00261082" w14:paraId="21E9BFE1" w14:textId="62EE40A5">
      <w:pPr>
        <w:jc w:val="both"/>
        <w:rPr>
          <w:sz w:val="22"/>
          <w:szCs w:val="18"/>
        </w:rPr>
      </w:pPr>
      <w:r w:rsidRPr="00856046">
        <w:rPr>
          <w:sz w:val="22"/>
          <w:szCs w:val="18"/>
          <w:u w:val="single"/>
        </w:rPr>
        <w:t>Watt/I-80 Transit Center Improvements</w:t>
      </w:r>
      <w:r w:rsidRPr="00856046">
        <w:rPr>
          <w:sz w:val="22"/>
          <w:szCs w:val="18"/>
        </w:rPr>
        <w:t>:</w:t>
      </w:r>
      <w:r w:rsidRPr="00856046">
        <w:rPr>
          <w:sz w:val="22"/>
          <w:szCs w:val="18"/>
        </w:rPr>
        <w:tab/>
      </w:r>
      <w:r w:rsidRPr="00856046" w:rsidR="00AA7E10">
        <w:rPr>
          <w:sz w:val="22"/>
          <w:szCs w:val="18"/>
        </w:rPr>
        <w:t>SacRT is working to e</w:t>
      </w:r>
      <w:r w:rsidRPr="00856046">
        <w:rPr>
          <w:sz w:val="22"/>
          <w:szCs w:val="18"/>
        </w:rPr>
        <w:t>nhance the Watt/I-80 Transit Center</w:t>
      </w:r>
      <w:r w:rsidRPr="00856046" w:rsidR="008356F0">
        <w:rPr>
          <w:sz w:val="22"/>
          <w:szCs w:val="18"/>
        </w:rPr>
        <w:t>,</w:t>
      </w:r>
      <w:r w:rsidRPr="00856046">
        <w:rPr>
          <w:sz w:val="22"/>
          <w:szCs w:val="18"/>
        </w:rPr>
        <w:t xml:space="preserve"> including strategies to improve visibility, natural surveillance, and regular positive activity, such as redesigning stairwell and elevator structures to be more open and accessible</w:t>
      </w:r>
      <w:r w:rsidRPr="00856046" w:rsidR="00873EDD">
        <w:rPr>
          <w:sz w:val="22"/>
          <w:szCs w:val="18"/>
        </w:rPr>
        <w:t xml:space="preserve">; </w:t>
      </w:r>
      <w:r w:rsidRPr="00856046">
        <w:rPr>
          <w:sz w:val="22"/>
          <w:szCs w:val="18"/>
        </w:rPr>
        <w:t xml:space="preserve">add lighting, construct a well-defined plaza area, </w:t>
      </w:r>
      <w:r w:rsidRPr="00856046" w:rsidR="00472B13">
        <w:rPr>
          <w:sz w:val="22"/>
          <w:szCs w:val="18"/>
        </w:rPr>
        <w:t xml:space="preserve">and </w:t>
      </w:r>
      <w:r w:rsidRPr="00856046">
        <w:rPr>
          <w:sz w:val="22"/>
          <w:szCs w:val="18"/>
        </w:rPr>
        <w:t>remove and restrict access to hiding spaces</w:t>
      </w:r>
      <w:r w:rsidRPr="00856046" w:rsidR="00873EDD">
        <w:rPr>
          <w:sz w:val="22"/>
          <w:szCs w:val="18"/>
        </w:rPr>
        <w:t xml:space="preserve">; </w:t>
      </w:r>
      <w:r w:rsidRPr="00856046">
        <w:rPr>
          <w:sz w:val="22"/>
          <w:szCs w:val="18"/>
        </w:rPr>
        <w:t>and invest in further site maintenance. Additional infrastructure improvements to Watt Avenue and bus stop amenities will enhance pedestrian, bicycle, and drop-off vehicle access to the Transit Center</w:t>
      </w:r>
      <w:r w:rsidRPr="00856046" w:rsidR="00873EDD">
        <w:rPr>
          <w:sz w:val="22"/>
          <w:szCs w:val="18"/>
        </w:rPr>
        <w:t>,</w:t>
      </w:r>
      <w:r w:rsidRPr="00856046">
        <w:rPr>
          <w:sz w:val="22"/>
          <w:szCs w:val="18"/>
        </w:rPr>
        <w:t xml:space="preserve"> as well as user-friendliness and comfort, which were identified as major priorities by current riders and desirable for potential future riders. </w:t>
      </w:r>
    </w:p>
    <w:p w:rsidRPr="00856046" w:rsidR="00261082" w:rsidP="005D36EA" w:rsidRDefault="00261082" w14:paraId="71E253BA" w14:textId="77777777">
      <w:pPr>
        <w:jc w:val="both"/>
        <w:rPr>
          <w:sz w:val="22"/>
          <w:szCs w:val="18"/>
        </w:rPr>
      </w:pPr>
    </w:p>
    <w:p w:rsidRPr="00856046" w:rsidR="002E1820" w:rsidP="005D36EA" w:rsidRDefault="002E1820" w14:paraId="12B2FC23" w14:textId="668ED0EC">
      <w:pPr>
        <w:jc w:val="both"/>
        <w:rPr>
          <w:sz w:val="22"/>
          <w:szCs w:val="18"/>
        </w:rPr>
      </w:pPr>
      <w:r w:rsidRPr="00856046">
        <w:rPr>
          <w:sz w:val="22"/>
          <w:szCs w:val="18"/>
          <w:u w:val="single"/>
        </w:rPr>
        <w:t>Light Rail Low</w:t>
      </w:r>
      <w:r w:rsidRPr="00856046" w:rsidR="00D85708">
        <w:rPr>
          <w:sz w:val="22"/>
          <w:szCs w:val="18"/>
          <w:u w:val="single"/>
        </w:rPr>
        <w:t>-</w:t>
      </w:r>
      <w:r w:rsidRPr="00856046">
        <w:rPr>
          <w:sz w:val="22"/>
          <w:szCs w:val="18"/>
          <w:u w:val="single"/>
        </w:rPr>
        <w:t>Floor Station Conversions</w:t>
      </w:r>
      <w:r w:rsidRPr="00856046">
        <w:rPr>
          <w:sz w:val="22"/>
          <w:szCs w:val="18"/>
        </w:rPr>
        <w:t xml:space="preserve">: </w:t>
      </w:r>
      <w:r w:rsidRPr="00856046" w:rsidR="00D21517">
        <w:rPr>
          <w:sz w:val="22"/>
          <w:szCs w:val="18"/>
        </w:rPr>
        <w:t xml:space="preserve">As SacRT transitions to a low-floor light rail fleet, </w:t>
      </w:r>
      <w:r w:rsidRPr="00856046" w:rsidR="007D1FF9">
        <w:rPr>
          <w:sz w:val="22"/>
          <w:szCs w:val="18"/>
        </w:rPr>
        <w:t>SacRT must m</w:t>
      </w:r>
      <w:r w:rsidRPr="00856046">
        <w:rPr>
          <w:sz w:val="22"/>
          <w:szCs w:val="18"/>
        </w:rPr>
        <w:t xml:space="preserve">odify 48 </w:t>
      </w:r>
      <w:r w:rsidRPr="00856046" w:rsidR="00873EDD">
        <w:rPr>
          <w:sz w:val="22"/>
          <w:szCs w:val="18"/>
        </w:rPr>
        <w:t xml:space="preserve">light rail station </w:t>
      </w:r>
      <w:r w:rsidRPr="00856046">
        <w:rPr>
          <w:sz w:val="22"/>
          <w:szCs w:val="18"/>
        </w:rPr>
        <w:t xml:space="preserve">platforms to accommodate </w:t>
      </w:r>
      <w:r w:rsidRPr="00856046" w:rsidR="007D1FF9">
        <w:rPr>
          <w:sz w:val="22"/>
          <w:szCs w:val="18"/>
        </w:rPr>
        <w:t xml:space="preserve">the </w:t>
      </w:r>
      <w:r w:rsidRPr="00856046">
        <w:rPr>
          <w:sz w:val="22"/>
          <w:szCs w:val="18"/>
        </w:rPr>
        <w:t>new low</w:t>
      </w:r>
      <w:r w:rsidRPr="00856046" w:rsidR="00D85708">
        <w:rPr>
          <w:sz w:val="22"/>
          <w:szCs w:val="18"/>
        </w:rPr>
        <w:t>-</w:t>
      </w:r>
      <w:r w:rsidRPr="00856046">
        <w:rPr>
          <w:sz w:val="22"/>
          <w:szCs w:val="18"/>
        </w:rPr>
        <w:t>floor vehicles. Scope includes design and construction to create a differential between the top platform elevation and the top of rail to allow level</w:t>
      </w:r>
      <w:r w:rsidRPr="00856046" w:rsidR="00D85708">
        <w:rPr>
          <w:sz w:val="22"/>
          <w:szCs w:val="18"/>
        </w:rPr>
        <w:t xml:space="preserve"> </w:t>
      </w:r>
      <w:r w:rsidRPr="00856046">
        <w:rPr>
          <w:sz w:val="22"/>
          <w:szCs w:val="18"/>
        </w:rPr>
        <w:t xml:space="preserve">boarding. </w:t>
      </w:r>
      <w:r w:rsidRPr="00856046" w:rsidR="0052615D">
        <w:rPr>
          <w:sz w:val="22"/>
          <w:szCs w:val="18"/>
        </w:rPr>
        <w:t xml:space="preserve">The project is currently </w:t>
      </w:r>
      <w:r w:rsidRPr="00856046" w:rsidR="001B7B44">
        <w:rPr>
          <w:sz w:val="22"/>
          <w:szCs w:val="18"/>
        </w:rPr>
        <w:t xml:space="preserve">planned in 4 phases, with phase 1 </w:t>
      </w:r>
      <w:r w:rsidRPr="00856046" w:rsidR="00DD5366">
        <w:rPr>
          <w:sz w:val="22"/>
          <w:szCs w:val="18"/>
        </w:rPr>
        <w:t xml:space="preserve">construction </w:t>
      </w:r>
      <w:r w:rsidRPr="00856046" w:rsidR="001B7B44">
        <w:rPr>
          <w:sz w:val="22"/>
          <w:szCs w:val="18"/>
        </w:rPr>
        <w:t>currently underway.</w:t>
      </w:r>
    </w:p>
    <w:p w:rsidRPr="00856046" w:rsidR="00261082" w:rsidP="005D36EA" w:rsidRDefault="00261082" w14:paraId="32D7A872" w14:textId="77777777">
      <w:pPr>
        <w:jc w:val="both"/>
        <w:rPr>
          <w:sz w:val="22"/>
          <w:szCs w:val="18"/>
        </w:rPr>
      </w:pPr>
    </w:p>
    <w:p w:rsidRPr="00856046" w:rsidR="00FD3423" w:rsidP="005D36EA" w:rsidRDefault="00FD3423" w14:paraId="74CCBC15" w14:textId="443E5451">
      <w:pPr>
        <w:jc w:val="both"/>
        <w:rPr>
          <w:sz w:val="22"/>
          <w:szCs w:val="18"/>
        </w:rPr>
      </w:pPr>
      <w:r w:rsidRPr="00856046">
        <w:rPr>
          <w:sz w:val="22"/>
          <w:szCs w:val="18"/>
          <w:u w:val="single"/>
        </w:rPr>
        <w:t>Horn Light Rail Station</w:t>
      </w:r>
      <w:r w:rsidRPr="00856046">
        <w:rPr>
          <w:sz w:val="22"/>
          <w:szCs w:val="18"/>
        </w:rPr>
        <w:t>:</w:t>
      </w:r>
      <w:r w:rsidRPr="00856046" w:rsidR="00094837">
        <w:rPr>
          <w:sz w:val="22"/>
          <w:szCs w:val="18"/>
        </w:rPr>
        <w:t xml:space="preserve"> SacRT is partnering with the City of Rancho Cordova to plan, design, and construct a light rail station near Horn Road and Folsom Boulevard. Constructing the station will require relocation of adjacent freight track and a design that balances costs with community expectations.</w:t>
      </w:r>
      <w:r w:rsidRPr="00856046" w:rsidR="00E21209">
        <w:rPr>
          <w:sz w:val="22"/>
          <w:szCs w:val="18"/>
        </w:rPr>
        <w:t xml:space="preserve"> This project will provide additional access for SacRT riders, and it will bridge the distance between the Butterfield and Mather Field Stations. In addition it will create a pedestrian/transit-oriented hub; help implement </w:t>
      </w:r>
      <w:r w:rsidRPr="00856046" w:rsidR="002307FE">
        <w:rPr>
          <w:sz w:val="22"/>
          <w:szCs w:val="18"/>
        </w:rPr>
        <w:t>transit oriented development</w:t>
      </w:r>
      <w:r w:rsidRPr="00856046" w:rsidR="00E21209">
        <w:rPr>
          <w:sz w:val="22"/>
          <w:szCs w:val="18"/>
        </w:rPr>
        <w:t xml:space="preserve"> along Folsom Boulevard; provide convenient connection to civic amenities, including the </w:t>
      </w:r>
      <w:r w:rsidRPr="00856046" w:rsidR="00AD110F">
        <w:rPr>
          <w:sz w:val="22"/>
          <w:szCs w:val="18"/>
        </w:rPr>
        <w:t xml:space="preserve">nearby </w:t>
      </w:r>
      <w:r w:rsidRPr="00856046" w:rsidR="00E21209">
        <w:rPr>
          <w:sz w:val="22"/>
          <w:szCs w:val="18"/>
        </w:rPr>
        <w:t>library and the County social services office; and support the Folsom Boulevard Complete Streets program that encourages pedestrian and bicycle travel along Folsom Boulevard.</w:t>
      </w:r>
    </w:p>
    <w:p w:rsidRPr="00856046" w:rsidR="00FD3423" w:rsidP="005D36EA" w:rsidRDefault="00FD3423" w14:paraId="04E0D44C" w14:textId="77777777">
      <w:pPr>
        <w:jc w:val="both"/>
        <w:rPr>
          <w:sz w:val="22"/>
          <w:szCs w:val="18"/>
          <w:highlight w:val="cyan"/>
        </w:rPr>
      </w:pPr>
    </w:p>
    <w:p w:rsidRPr="00856046" w:rsidR="00FD3423" w:rsidP="005D36EA" w:rsidRDefault="00FD3423" w14:paraId="311BDFA7" w14:textId="08AAB79D">
      <w:pPr>
        <w:jc w:val="both"/>
        <w:rPr>
          <w:sz w:val="22"/>
          <w:szCs w:val="18"/>
          <w:highlight w:val="cyan"/>
        </w:rPr>
      </w:pPr>
      <w:r w:rsidRPr="00856046">
        <w:rPr>
          <w:sz w:val="22"/>
          <w:szCs w:val="18"/>
          <w:u w:val="single"/>
        </w:rPr>
        <w:t xml:space="preserve">Sacramento Valley Light Rail Station </w:t>
      </w:r>
      <w:r w:rsidRPr="00856046" w:rsidR="00ED4C0A">
        <w:rPr>
          <w:sz w:val="22"/>
          <w:szCs w:val="18"/>
          <w:u w:val="single"/>
        </w:rPr>
        <w:t xml:space="preserve">(SVS) </w:t>
      </w:r>
      <w:r w:rsidRPr="00856046">
        <w:rPr>
          <w:sz w:val="22"/>
          <w:szCs w:val="18"/>
          <w:u w:val="single"/>
        </w:rPr>
        <w:t>Relocation</w:t>
      </w:r>
      <w:r w:rsidRPr="00856046">
        <w:rPr>
          <w:sz w:val="22"/>
          <w:szCs w:val="18"/>
        </w:rPr>
        <w:t xml:space="preserve">: </w:t>
      </w:r>
      <w:r w:rsidRPr="00856046" w:rsidR="00DB4F91">
        <w:rPr>
          <w:sz w:val="22"/>
          <w:szCs w:val="18"/>
        </w:rPr>
        <w:t>SacRT plans to relocate the existing  temporary light rail station on H Street, west of 5th Street to a north-south axis configuration west of 5th Street.</w:t>
      </w:r>
      <w:r w:rsidRPr="00856046" w:rsidR="00AC59E4">
        <w:rPr>
          <w:sz w:val="22"/>
          <w:szCs w:val="18"/>
        </w:rPr>
        <w:t xml:space="preserve"> This project supports railyard development; it will provide service for the new State Department of General Services building and the proposed major league soccer stadium, and it is included in the City of Sacramento’s SVS Master Plan. The project will </w:t>
      </w:r>
      <w:r w:rsidRPr="00856046" w:rsidR="00ED4C0A">
        <w:rPr>
          <w:sz w:val="22"/>
          <w:szCs w:val="18"/>
        </w:rPr>
        <w:t xml:space="preserve">also </w:t>
      </w:r>
      <w:r w:rsidRPr="00856046" w:rsidR="00AC59E4">
        <w:rPr>
          <w:sz w:val="22"/>
          <w:szCs w:val="18"/>
        </w:rPr>
        <w:t>support the Downtown Riverfront Streetcar Project and the Green Line light rail extension.</w:t>
      </w:r>
      <w:r w:rsidRPr="00856046" w:rsidR="00AC59E4">
        <w:rPr>
          <w:sz w:val="22"/>
          <w:szCs w:val="18"/>
        </w:rPr>
        <w:cr/>
      </w:r>
    </w:p>
    <w:p w:rsidRPr="00856046" w:rsidR="00E003B7" w:rsidP="00873DF4" w:rsidRDefault="003C29ED" w14:paraId="0D67F08E" w14:textId="77777777">
      <w:pPr>
        <w:widowControl/>
        <w:spacing w:before="4"/>
        <w:rPr>
          <w:rFonts w:eastAsia="Calibri Light" w:cs="Arial"/>
          <w:b/>
          <w:snapToGrid/>
          <w:color w:val="2E5395"/>
          <w:sz w:val="22"/>
          <w:szCs w:val="22"/>
          <w:u w:val="single"/>
        </w:rPr>
      </w:pPr>
      <w:r w:rsidRPr="00856046">
        <w:rPr>
          <w:rFonts w:eastAsia="Calibri Light" w:cs="Arial"/>
          <w:b/>
          <w:snapToGrid/>
          <w:color w:val="2E5395"/>
          <w:sz w:val="22"/>
          <w:szCs w:val="22"/>
          <w:u w:val="single"/>
        </w:rPr>
        <w:t xml:space="preserve">STEP 1, Part C: </w:t>
      </w:r>
      <w:r w:rsidRPr="00856046" w:rsidR="00E003B7">
        <w:rPr>
          <w:rFonts w:eastAsia="Calibri Light" w:cs="Arial"/>
          <w:b/>
          <w:snapToGrid/>
          <w:color w:val="2E5395"/>
          <w:sz w:val="22"/>
          <w:szCs w:val="22"/>
          <w:u w:val="single"/>
        </w:rPr>
        <w:t>Calculating the Base Figure</w:t>
      </w:r>
    </w:p>
    <w:p w:rsidRPr="00856046" w:rsidR="00E003B7" w:rsidP="00D1228A" w:rsidRDefault="00E003B7" w14:paraId="678431CE" w14:textId="77777777">
      <w:pPr>
        <w:jc w:val="both"/>
        <w:rPr>
          <w:sz w:val="22"/>
          <w:szCs w:val="18"/>
        </w:rPr>
      </w:pPr>
    </w:p>
    <w:p w:rsidR="005C5E5F" w:rsidP="009B1388" w:rsidRDefault="005E7A1F" w14:paraId="0A9C744A" w14:textId="77777777">
      <w:pPr>
        <w:jc w:val="both"/>
        <w:rPr>
          <w:sz w:val="22"/>
          <w:szCs w:val="18"/>
        </w:rPr>
      </w:pPr>
      <w:r w:rsidRPr="00856046">
        <w:rPr>
          <w:sz w:val="22"/>
          <w:szCs w:val="18"/>
        </w:rPr>
        <w:t xml:space="preserve">Pursuant to 49 CFR 26.45(c), to determine the baseline figure for its FFY 2024-2026 DBE Goal, SacRT used the most recent data available in </w:t>
      </w:r>
      <w:r w:rsidRPr="00856046" w:rsidR="008C22D2">
        <w:rPr>
          <w:sz w:val="22"/>
          <w:szCs w:val="18"/>
        </w:rPr>
        <w:t xml:space="preserve">the </w:t>
      </w:r>
      <w:r w:rsidRPr="00856046" w:rsidR="00D1228A">
        <w:rPr>
          <w:sz w:val="22"/>
          <w:szCs w:val="18"/>
        </w:rPr>
        <w:t>Census Bureau</w:t>
      </w:r>
      <w:r w:rsidRPr="00856046" w:rsidR="00997B57">
        <w:rPr>
          <w:sz w:val="22"/>
          <w:szCs w:val="18"/>
        </w:rPr>
        <w:t>’s</w:t>
      </w:r>
      <w:r w:rsidRPr="00856046" w:rsidR="00D1228A">
        <w:rPr>
          <w:sz w:val="22"/>
          <w:szCs w:val="18"/>
        </w:rPr>
        <w:t xml:space="preserve"> </w:t>
      </w:r>
      <w:r w:rsidRPr="00856046" w:rsidR="00997B57">
        <w:rPr>
          <w:sz w:val="22"/>
          <w:szCs w:val="18"/>
        </w:rPr>
        <w:t>County Business Pattern Database (CBP)</w:t>
      </w:r>
      <w:r w:rsidRPr="00856046" w:rsidR="00FE57EF">
        <w:rPr>
          <w:sz w:val="22"/>
          <w:szCs w:val="18"/>
        </w:rPr>
        <w:t xml:space="preserve"> </w:t>
      </w:r>
      <w:r w:rsidRPr="00856046" w:rsidR="00D1228A">
        <w:rPr>
          <w:sz w:val="22"/>
          <w:szCs w:val="18"/>
        </w:rPr>
        <w:t xml:space="preserve">and the </w:t>
      </w:r>
      <w:r w:rsidRPr="00856046" w:rsidR="009D31B1">
        <w:rPr>
          <w:sz w:val="22"/>
          <w:szCs w:val="18"/>
        </w:rPr>
        <w:t xml:space="preserve">California </w:t>
      </w:r>
      <w:r w:rsidRPr="00856046" w:rsidR="0049041B">
        <w:rPr>
          <w:sz w:val="22"/>
          <w:szCs w:val="18"/>
        </w:rPr>
        <w:t xml:space="preserve">United Certification Program (CUCP) </w:t>
      </w:r>
      <w:r w:rsidRPr="00856046" w:rsidR="00D1228A">
        <w:rPr>
          <w:sz w:val="22"/>
          <w:szCs w:val="18"/>
        </w:rPr>
        <w:t>DBE Directory</w:t>
      </w:r>
      <w:r w:rsidRPr="00856046" w:rsidR="00DA71DC">
        <w:rPr>
          <w:sz w:val="22"/>
          <w:szCs w:val="18"/>
        </w:rPr>
        <w:t>,</w:t>
      </w:r>
      <w:r w:rsidRPr="00856046" w:rsidR="00D1228A">
        <w:rPr>
          <w:sz w:val="22"/>
          <w:szCs w:val="18"/>
        </w:rPr>
        <w:t xml:space="preserve"> </w:t>
      </w:r>
      <w:r w:rsidRPr="00856046" w:rsidR="009B1388">
        <w:rPr>
          <w:sz w:val="22"/>
          <w:szCs w:val="18"/>
        </w:rPr>
        <w:t>to determine the percentage of ready, willing, and able DBEs in SacRT’s market area</w:t>
      </w:r>
      <w:r w:rsidRPr="00856046" w:rsidR="00BE368E">
        <w:rPr>
          <w:sz w:val="22"/>
          <w:szCs w:val="18"/>
        </w:rPr>
        <w:t>.</w:t>
      </w:r>
      <w:r w:rsidRPr="00856046" w:rsidR="009B1388">
        <w:rPr>
          <w:sz w:val="22"/>
          <w:szCs w:val="18"/>
        </w:rPr>
        <w:t xml:space="preserve"> </w:t>
      </w:r>
    </w:p>
    <w:p w:rsidR="005C5E5F" w:rsidP="009B1388" w:rsidRDefault="005C5E5F" w14:paraId="5DB48B67" w14:textId="77777777">
      <w:pPr>
        <w:jc w:val="both"/>
        <w:rPr>
          <w:sz w:val="22"/>
          <w:szCs w:val="18"/>
        </w:rPr>
      </w:pPr>
    </w:p>
    <w:p w:rsidRPr="00856046" w:rsidR="00D1228A" w:rsidP="009B1388" w:rsidRDefault="009B1388" w14:paraId="55778AD8" w14:textId="1141D56D">
      <w:pPr>
        <w:jc w:val="both"/>
        <w:rPr>
          <w:sz w:val="22"/>
          <w:szCs w:val="18"/>
        </w:rPr>
      </w:pPr>
      <w:r w:rsidRPr="00856046">
        <w:rPr>
          <w:sz w:val="22"/>
          <w:szCs w:val="18"/>
        </w:rPr>
        <w:t>SacRT has made preliminary assumptions regarding which six-digit North American Industry Classification System (NAICS) Codes will have relevance to the</w:t>
      </w:r>
      <w:r w:rsidR="00FF6081">
        <w:rPr>
          <w:sz w:val="22"/>
          <w:szCs w:val="18"/>
        </w:rPr>
        <w:t xml:space="preserve"> </w:t>
      </w:r>
      <w:r w:rsidR="00792B53">
        <w:rPr>
          <w:sz w:val="22"/>
          <w:szCs w:val="18"/>
        </w:rPr>
        <w:t xml:space="preserve">contracting </w:t>
      </w:r>
      <w:r w:rsidR="00FF6081">
        <w:rPr>
          <w:sz w:val="22"/>
          <w:szCs w:val="18"/>
        </w:rPr>
        <w:t>opportunities for</w:t>
      </w:r>
      <w:r w:rsidRPr="00856046">
        <w:rPr>
          <w:sz w:val="22"/>
          <w:szCs w:val="18"/>
        </w:rPr>
        <w:t xml:space="preserve"> upcoming projects receiving FTA funding in the next three federal fiscal years.</w:t>
      </w:r>
      <w:r w:rsidR="00792B53">
        <w:rPr>
          <w:sz w:val="22"/>
          <w:szCs w:val="18"/>
        </w:rPr>
        <w:t xml:space="preserve"> For </w:t>
      </w:r>
      <w:r w:rsidR="005E5D23">
        <w:rPr>
          <w:sz w:val="22"/>
          <w:szCs w:val="18"/>
        </w:rPr>
        <w:t xml:space="preserve">the </w:t>
      </w:r>
      <w:r w:rsidR="00792B53">
        <w:rPr>
          <w:sz w:val="22"/>
          <w:szCs w:val="18"/>
        </w:rPr>
        <w:t>major construction projects, the Prime NAICS code</w:t>
      </w:r>
      <w:r w:rsidR="005E5D23">
        <w:rPr>
          <w:sz w:val="22"/>
          <w:szCs w:val="18"/>
        </w:rPr>
        <w:t xml:space="preserve"> 237310 “Highway, Street, and Bridge Construction”</w:t>
      </w:r>
      <w:r w:rsidR="00792B53">
        <w:rPr>
          <w:sz w:val="22"/>
          <w:szCs w:val="18"/>
        </w:rPr>
        <w:t xml:space="preserve"> w</w:t>
      </w:r>
      <w:r w:rsidR="005E5D23">
        <w:rPr>
          <w:sz w:val="22"/>
          <w:szCs w:val="18"/>
        </w:rPr>
        <w:t>as</w:t>
      </w:r>
      <w:r w:rsidR="00792B53">
        <w:rPr>
          <w:sz w:val="22"/>
          <w:szCs w:val="18"/>
        </w:rPr>
        <w:t xml:space="preserve"> not included in this analysis, therefore only the subcontracting opportunities </w:t>
      </w:r>
      <w:r w:rsidR="005106D8">
        <w:rPr>
          <w:sz w:val="22"/>
          <w:szCs w:val="18"/>
        </w:rPr>
        <w:t xml:space="preserve">for those major projects </w:t>
      </w:r>
      <w:r w:rsidR="00792B53">
        <w:rPr>
          <w:sz w:val="22"/>
          <w:szCs w:val="18"/>
        </w:rPr>
        <w:t>are included</w:t>
      </w:r>
      <w:r w:rsidR="005106D8">
        <w:rPr>
          <w:sz w:val="22"/>
          <w:szCs w:val="18"/>
        </w:rPr>
        <w:t xml:space="preserve"> in the calculations</w:t>
      </w:r>
      <w:r w:rsidR="00792B53">
        <w:rPr>
          <w:sz w:val="22"/>
          <w:szCs w:val="18"/>
        </w:rPr>
        <w:t>.</w:t>
      </w:r>
    </w:p>
    <w:p w:rsidRPr="00856046" w:rsidR="00EE4914" w:rsidP="00DD0858" w:rsidRDefault="00EE4914" w14:paraId="1262ACFD" w14:textId="77777777">
      <w:pPr>
        <w:jc w:val="both"/>
        <w:rPr>
          <w:sz w:val="22"/>
          <w:szCs w:val="18"/>
        </w:rPr>
      </w:pPr>
    </w:p>
    <w:p w:rsidR="00856046" w:rsidRDefault="00856046" w14:paraId="5AD43A39" w14:textId="77777777">
      <w:pPr>
        <w:widowControl/>
        <w:rPr>
          <w:b/>
          <w:bCs/>
          <w:sz w:val="22"/>
          <w:szCs w:val="18"/>
        </w:rPr>
      </w:pPr>
      <w:r>
        <w:rPr>
          <w:b/>
          <w:bCs/>
          <w:strike/>
          <w:sz w:val="22"/>
          <w:szCs w:val="18"/>
        </w:rPr>
        <w:br w:type="page"/>
      </w:r>
    </w:p>
    <w:p w:rsidRPr="00856046" w:rsidR="004B59BE" w:rsidP="004B59BE" w:rsidRDefault="004B59BE" w14:paraId="3C6BFE23" w14:textId="7807B5BE">
      <w:pPr>
        <w:pStyle w:val="BodyText"/>
        <w:jc w:val="center"/>
        <w:rPr>
          <w:b/>
          <w:bCs/>
          <w:strike w:val="0"/>
          <w:snapToGrid w:val="0"/>
          <w:sz w:val="22"/>
          <w:szCs w:val="18"/>
        </w:rPr>
      </w:pPr>
      <w:r w:rsidRPr="00856046">
        <w:rPr>
          <w:b/>
          <w:bCs/>
          <w:strike w:val="0"/>
          <w:snapToGrid w:val="0"/>
          <w:sz w:val="22"/>
          <w:szCs w:val="18"/>
        </w:rPr>
        <w:lastRenderedPageBreak/>
        <w:t xml:space="preserve">Table </w:t>
      </w:r>
      <w:r w:rsidRPr="00856046" w:rsidR="006D44B6">
        <w:rPr>
          <w:b/>
          <w:bCs/>
          <w:strike w:val="0"/>
          <w:snapToGrid w:val="0"/>
          <w:sz w:val="22"/>
          <w:szCs w:val="18"/>
        </w:rPr>
        <w:t>2</w:t>
      </w:r>
      <w:r w:rsidRPr="00856046">
        <w:rPr>
          <w:b/>
          <w:bCs/>
          <w:strike w:val="0"/>
          <w:snapToGrid w:val="0"/>
          <w:sz w:val="22"/>
          <w:szCs w:val="18"/>
        </w:rPr>
        <w:t>: Relative Base Figure</w:t>
      </w:r>
    </w:p>
    <w:p w:rsidRPr="00856046" w:rsidR="004B59BE" w:rsidP="002C71AA" w:rsidRDefault="00CA52CF" w14:paraId="10FA5A59" w14:textId="4BE9C113">
      <w:pPr>
        <w:pStyle w:val="BodyText"/>
        <w:rPr>
          <w:strike w:val="0"/>
          <w:snapToGrid w:val="0"/>
          <w:sz w:val="22"/>
          <w:szCs w:val="18"/>
        </w:rPr>
      </w:pPr>
      <w:r w:rsidRPr="00856046">
        <w:rPr>
          <w:noProof/>
          <w:sz w:val="22"/>
          <w:szCs w:val="18"/>
        </w:rPr>
        <w:drawing>
          <wp:inline distT="0" distB="0" distL="0" distR="0" wp14:anchorId="710DCF40" wp14:editId="3BFF1322">
            <wp:extent cx="6400800" cy="4712335"/>
            <wp:effectExtent l="0" t="0" r="0" b="0"/>
            <wp:docPr id="14946582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712335"/>
                    </a:xfrm>
                    <a:prstGeom prst="rect">
                      <a:avLst/>
                    </a:prstGeom>
                    <a:noFill/>
                    <a:ln>
                      <a:noFill/>
                    </a:ln>
                  </pic:spPr>
                </pic:pic>
              </a:graphicData>
            </a:graphic>
          </wp:inline>
        </w:drawing>
      </w:r>
    </w:p>
    <w:p w:rsidRPr="00722D2B" w:rsidR="00722D2B" w:rsidP="00722D2B" w:rsidRDefault="00722D2B" w14:paraId="6CCBE9C9" w14:textId="77777777">
      <w:pPr>
        <w:jc w:val="center"/>
        <w:rPr>
          <w:i/>
          <w:sz w:val="13"/>
          <w:szCs w:val="18"/>
        </w:rPr>
      </w:pPr>
      <w:r w:rsidRPr="00722D2B">
        <w:rPr>
          <w:i/>
          <w:sz w:val="16"/>
          <w:szCs w:val="18"/>
        </w:rPr>
        <w:t>Relative Base Figure =</w:t>
      </w:r>
      <w:r w:rsidRPr="00722D2B">
        <w:rPr>
          <w:i/>
          <w:sz w:val="28"/>
          <w:szCs w:val="28"/>
        </w:rPr>
        <w:t>(</w:t>
      </w:r>
      <w:r w:rsidRPr="00722D2B">
        <w:rPr>
          <w:i/>
          <w:position w:val="-26"/>
          <w:sz w:val="13"/>
          <w:szCs w:val="18"/>
        </w:rPr>
        <w:object w:dxaOrig="4459" w:dyaOrig="639" w14:anchorId="1A8EA13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95.75pt;height:27.75pt" fillcolor="window" o:ole="" type="#_x0000_t75">
            <v:imagedata o:title="" r:id="rId16"/>
          </v:shape>
          <o:OLEObject Type="Embed" ProgID="Equation.3" ShapeID="_x0000_i1025" DrawAspect="Content" ObjectID="_1748670303" r:id="rId17"/>
        </w:object>
      </w:r>
      <w:r w:rsidRPr="00722D2B">
        <w:rPr>
          <w:i/>
          <w:sz w:val="28"/>
          <w:szCs w:val="18"/>
        </w:rPr>
        <w:t>)</w:t>
      </w:r>
    </w:p>
    <w:p w:rsidRPr="00856046" w:rsidR="004B59BE" w:rsidP="002C71AA" w:rsidRDefault="004B59BE" w14:paraId="2374DDC8" w14:textId="77777777">
      <w:pPr>
        <w:pStyle w:val="BodyText"/>
        <w:rPr>
          <w:strike w:val="0"/>
          <w:snapToGrid w:val="0"/>
          <w:sz w:val="22"/>
          <w:szCs w:val="18"/>
        </w:rPr>
      </w:pPr>
    </w:p>
    <w:p w:rsidRPr="00856046" w:rsidR="004B59BE" w:rsidP="00E4422F" w:rsidRDefault="00E4422F" w14:paraId="4ED450E7" w14:textId="539DF0D7">
      <w:pPr>
        <w:pStyle w:val="BodyText"/>
        <w:rPr>
          <w:strike w:val="0"/>
          <w:snapToGrid w:val="0"/>
          <w:sz w:val="22"/>
          <w:szCs w:val="18"/>
        </w:rPr>
      </w:pPr>
      <w:r w:rsidRPr="00856046">
        <w:rPr>
          <w:strike w:val="0"/>
          <w:sz w:val="22"/>
          <w:szCs w:val="18"/>
        </w:rPr>
        <w:t>SacRT</w:t>
      </w:r>
      <w:r w:rsidRPr="00856046">
        <w:rPr>
          <w:strike w:val="0"/>
          <w:snapToGrid w:val="0"/>
          <w:sz w:val="22"/>
          <w:szCs w:val="18"/>
        </w:rPr>
        <w:t xml:space="preserve"> believes this relative base figure calculation </w:t>
      </w:r>
      <w:r w:rsidR="00D97B70">
        <w:rPr>
          <w:strike w:val="0"/>
          <w:snapToGrid w:val="0"/>
          <w:sz w:val="22"/>
          <w:szCs w:val="18"/>
        </w:rPr>
        <w:t xml:space="preserve">does not accurately </w:t>
      </w:r>
      <w:r w:rsidR="00A75ECA">
        <w:rPr>
          <w:strike w:val="0"/>
          <w:snapToGrid w:val="0"/>
          <w:sz w:val="22"/>
          <w:szCs w:val="18"/>
        </w:rPr>
        <w:t>quantify</w:t>
      </w:r>
      <w:r w:rsidR="00D97B70">
        <w:rPr>
          <w:strike w:val="0"/>
          <w:snapToGrid w:val="0"/>
          <w:sz w:val="22"/>
          <w:szCs w:val="18"/>
        </w:rPr>
        <w:t xml:space="preserve"> </w:t>
      </w:r>
      <w:r w:rsidRPr="00856046">
        <w:rPr>
          <w:strike w:val="0"/>
          <w:snapToGrid w:val="0"/>
          <w:sz w:val="22"/>
          <w:szCs w:val="18"/>
        </w:rPr>
        <w:t xml:space="preserve">the </w:t>
      </w:r>
      <w:r w:rsidR="00A75ECA">
        <w:rPr>
          <w:strike w:val="0"/>
          <w:snapToGrid w:val="0"/>
          <w:sz w:val="22"/>
          <w:szCs w:val="18"/>
        </w:rPr>
        <w:t xml:space="preserve">percentage </w:t>
      </w:r>
      <w:r w:rsidRPr="00856046">
        <w:rPr>
          <w:strike w:val="0"/>
          <w:snapToGrid w:val="0"/>
          <w:sz w:val="22"/>
          <w:szCs w:val="18"/>
        </w:rPr>
        <w:t>of available DBEs</w:t>
      </w:r>
      <w:r w:rsidR="00A75ECA">
        <w:rPr>
          <w:strike w:val="0"/>
          <w:snapToGrid w:val="0"/>
          <w:sz w:val="22"/>
          <w:szCs w:val="18"/>
        </w:rPr>
        <w:t>,</w:t>
      </w:r>
      <w:r w:rsidRPr="00856046">
        <w:rPr>
          <w:strike w:val="0"/>
          <w:snapToGrid w:val="0"/>
          <w:sz w:val="22"/>
          <w:szCs w:val="18"/>
        </w:rPr>
        <w:t xml:space="preserve"> as it assumes that every DBE has an equal opportunity and equal weight to perform on </w:t>
      </w:r>
      <w:r w:rsidRPr="00856046">
        <w:rPr>
          <w:strike w:val="0"/>
          <w:sz w:val="22"/>
          <w:szCs w:val="18"/>
        </w:rPr>
        <w:t>SacRT</w:t>
      </w:r>
      <w:r w:rsidRPr="00856046">
        <w:rPr>
          <w:strike w:val="0"/>
          <w:snapToGrid w:val="0"/>
          <w:sz w:val="22"/>
          <w:szCs w:val="18"/>
        </w:rPr>
        <w:t xml:space="preserve">’s contracts. However, in the practical application, not all DBEs have equal opportunity for participation, as opportunity is dependent on the amount of dollars spent in each NAICS code. Therefore, to reflect the relative availability of DBE firms more accurately, as recommended by U.S. DOT, </w:t>
      </w:r>
      <w:r w:rsidRPr="00856046">
        <w:rPr>
          <w:strike w:val="0"/>
          <w:sz w:val="22"/>
          <w:szCs w:val="18"/>
        </w:rPr>
        <w:t>SacRT</w:t>
      </w:r>
      <w:r w:rsidRPr="00856046">
        <w:rPr>
          <w:strike w:val="0"/>
          <w:snapToGrid w:val="0"/>
          <w:sz w:val="22"/>
          <w:szCs w:val="18"/>
        </w:rPr>
        <w:t xml:space="preserve"> performed a weighted calculation of availability. This calculation is based on an estimation of </w:t>
      </w:r>
      <w:r w:rsidRPr="00856046" w:rsidR="00547235">
        <w:rPr>
          <w:strike w:val="0"/>
          <w:snapToGrid w:val="0"/>
          <w:sz w:val="22"/>
          <w:szCs w:val="18"/>
        </w:rPr>
        <w:t>work</w:t>
      </w:r>
      <w:r w:rsidR="00C1271F">
        <w:rPr>
          <w:strike w:val="0"/>
          <w:snapToGrid w:val="0"/>
          <w:sz w:val="22"/>
          <w:szCs w:val="18"/>
        </w:rPr>
        <w:t xml:space="preserve"> types</w:t>
      </w:r>
      <w:r w:rsidRPr="00856046" w:rsidR="00547235">
        <w:rPr>
          <w:strike w:val="0"/>
          <w:snapToGrid w:val="0"/>
          <w:sz w:val="22"/>
          <w:szCs w:val="18"/>
        </w:rPr>
        <w:t xml:space="preserve"> for </w:t>
      </w:r>
      <w:r w:rsidRPr="00856046">
        <w:rPr>
          <w:strike w:val="0"/>
          <w:sz w:val="22"/>
          <w:szCs w:val="18"/>
        </w:rPr>
        <w:t>SacRT</w:t>
      </w:r>
      <w:r w:rsidRPr="00856046">
        <w:rPr>
          <w:strike w:val="0"/>
          <w:snapToGrid w:val="0"/>
          <w:sz w:val="22"/>
          <w:szCs w:val="18"/>
        </w:rPr>
        <w:t>’s future projects with FTA-funded expenditures</w:t>
      </w:r>
      <w:r w:rsidRPr="00856046" w:rsidR="001E3CD4">
        <w:rPr>
          <w:strike w:val="0"/>
          <w:snapToGrid w:val="0"/>
          <w:sz w:val="22"/>
          <w:szCs w:val="18"/>
        </w:rPr>
        <w:t>, classified</w:t>
      </w:r>
      <w:r w:rsidRPr="00856046">
        <w:rPr>
          <w:strike w:val="0"/>
          <w:snapToGrid w:val="0"/>
          <w:sz w:val="22"/>
          <w:szCs w:val="18"/>
        </w:rPr>
        <w:t xml:space="preserve"> </w:t>
      </w:r>
      <w:r w:rsidRPr="00856046" w:rsidR="00547235">
        <w:rPr>
          <w:strike w:val="0"/>
          <w:snapToGrid w:val="0"/>
          <w:sz w:val="22"/>
          <w:szCs w:val="18"/>
        </w:rPr>
        <w:t xml:space="preserve">by </w:t>
      </w:r>
      <w:r w:rsidRPr="00856046">
        <w:rPr>
          <w:strike w:val="0"/>
          <w:snapToGrid w:val="0"/>
          <w:sz w:val="22"/>
          <w:szCs w:val="18"/>
        </w:rPr>
        <w:t>NAICS code.</w:t>
      </w:r>
    </w:p>
    <w:p w:rsidRPr="00856046" w:rsidR="004B59BE" w:rsidP="004B59BE" w:rsidRDefault="004B59BE" w14:paraId="5783F67A" w14:textId="77777777">
      <w:pPr>
        <w:jc w:val="both"/>
        <w:rPr>
          <w:sz w:val="22"/>
          <w:szCs w:val="18"/>
          <w:highlight w:val="cyan"/>
        </w:rPr>
      </w:pPr>
    </w:p>
    <w:p w:rsidRPr="00856046" w:rsidR="004B59BE" w:rsidP="002C71AA" w:rsidRDefault="004B59BE" w14:paraId="5B33CAE1" w14:textId="77777777">
      <w:pPr>
        <w:pStyle w:val="BodyText"/>
        <w:rPr>
          <w:strike w:val="0"/>
          <w:snapToGrid w:val="0"/>
          <w:sz w:val="22"/>
          <w:szCs w:val="18"/>
        </w:rPr>
      </w:pPr>
    </w:p>
    <w:p w:rsidR="00856046" w:rsidRDefault="00856046" w14:paraId="3037F538" w14:textId="77777777">
      <w:pPr>
        <w:widowControl/>
        <w:rPr>
          <w:b/>
          <w:bCs/>
          <w:sz w:val="22"/>
          <w:szCs w:val="18"/>
        </w:rPr>
      </w:pPr>
      <w:r>
        <w:rPr>
          <w:b/>
          <w:bCs/>
          <w:strike/>
          <w:sz w:val="22"/>
          <w:szCs w:val="18"/>
        </w:rPr>
        <w:br w:type="page"/>
      </w:r>
    </w:p>
    <w:p w:rsidRPr="00856046" w:rsidR="002C71AA" w:rsidP="004B59BE" w:rsidRDefault="004B59BE" w14:paraId="1C9470CD" w14:textId="7261E26A">
      <w:pPr>
        <w:pStyle w:val="BodyText"/>
        <w:jc w:val="center"/>
        <w:rPr>
          <w:b/>
          <w:bCs/>
          <w:strike w:val="0"/>
          <w:snapToGrid w:val="0"/>
          <w:sz w:val="22"/>
          <w:szCs w:val="18"/>
        </w:rPr>
      </w:pPr>
      <w:r w:rsidRPr="00856046">
        <w:rPr>
          <w:b/>
          <w:bCs/>
          <w:strike w:val="0"/>
          <w:snapToGrid w:val="0"/>
          <w:sz w:val="22"/>
          <w:szCs w:val="18"/>
        </w:rPr>
        <w:lastRenderedPageBreak/>
        <w:t xml:space="preserve">Table </w:t>
      </w:r>
      <w:r w:rsidRPr="00856046" w:rsidR="006D44B6">
        <w:rPr>
          <w:b/>
          <w:bCs/>
          <w:strike w:val="0"/>
          <w:snapToGrid w:val="0"/>
          <w:sz w:val="22"/>
          <w:szCs w:val="18"/>
        </w:rPr>
        <w:t>3</w:t>
      </w:r>
      <w:r w:rsidRPr="00856046">
        <w:rPr>
          <w:b/>
          <w:bCs/>
          <w:strike w:val="0"/>
          <w:snapToGrid w:val="0"/>
          <w:sz w:val="22"/>
          <w:szCs w:val="18"/>
        </w:rPr>
        <w:t>: Weighted Base Figure</w:t>
      </w:r>
    </w:p>
    <w:p w:rsidR="00233EBB" w:rsidP="004155B3" w:rsidRDefault="00DA70E2" w14:paraId="2F5F3AF2" w14:textId="6C01A6EE">
      <w:pPr>
        <w:jc w:val="center"/>
        <w:rPr>
          <w:strike/>
          <w:sz w:val="22"/>
          <w:szCs w:val="18"/>
        </w:rPr>
      </w:pPr>
      <w:r w:rsidRPr="00217A64">
        <w:drawing>
          <wp:inline distT="0" distB="0" distL="0" distR="0" wp14:anchorId="166DD79F" wp14:editId="0519A70C">
            <wp:extent cx="6400800" cy="4669790"/>
            <wp:effectExtent l="0" t="0" r="0" b="0"/>
            <wp:docPr id="980520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669790"/>
                    </a:xfrm>
                    <a:prstGeom prst="rect">
                      <a:avLst/>
                    </a:prstGeom>
                    <a:noFill/>
                    <a:ln>
                      <a:noFill/>
                    </a:ln>
                  </pic:spPr>
                </pic:pic>
              </a:graphicData>
            </a:graphic>
          </wp:inline>
        </w:drawing>
      </w:r>
    </w:p>
    <w:p w:rsidRPr="00722D2B" w:rsidR="00722D2B" w:rsidP="00722D2B" w:rsidRDefault="00722D2B" w14:paraId="172A7460" w14:textId="77777777">
      <w:pPr>
        <w:jc w:val="center"/>
        <w:rPr>
          <w:i/>
          <w:sz w:val="13"/>
          <w:szCs w:val="18"/>
        </w:rPr>
      </w:pPr>
      <w:r w:rsidRPr="00722D2B">
        <w:rPr>
          <w:i/>
          <w:sz w:val="16"/>
          <w:szCs w:val="18"/>
        </w:rPr>
        <w:t>Weighted Base Figure =</w:t>
      </w:r>
      <w:r w:rsidRPr="00722D2B">
        <w:rPr>
          <w:i/>
          <w:sz w:val="28"/>
          <w:szCs w:val="18"/>
        </w:rPr>
        <w:t xml:space="preserve"> [</w:t>
      </w:r>
      <w:r w:rsidRPr="00722D2B">
        <w:rPr>
          <w:i/>
          <w:sz w:val="28"/>
          <w:szCs w:val="28"/>
        </w:rPr>
        <w:t>(</w:t>
      </w:r>
      <w:r w:rsidRPr="00722D2B">
        <w:rPr>
          <w:i/>
          <w:sz w:val="13"/>
          <w:szCs w:val="18"/>
        </w:rPr>
        <w:t>%Projected Expenditures by NAICS Code Expense Category</w:t>
      </w:r>
      <w:r w:rsidRPr="00722D2B">
        <w:rPr>
          <w:i/>
          <w:sz w:val="28"/>
          <w:szCs w:val="28"/>
        </w:rPr>
        <w:t>)(</w:t>
      </w:r>
      <w:r w:rsidRPr="00722D2B">
        <w:rPr>
          <w:i/>
          <w:position w:val="-26"/>
          <w:sz w:val="13"/>
          <w:szCs w:val="18"/>
        </w:rPr>
        <w:object w:dxaOrig="4459" w:dyaOrig="639" w14:anchorId="00CEC364">
          <v:shape id="_x0000_i1026" style="width:195.75pt;height:27.75pt" fillcolor="window" o:ole="" type="#_x0000_t75">
            <v:imagedata o:title="" r:id="rId16"/>
          </v:shape>
          <o:OLEObject Type="Embed" ProgID="Equation.3" ShapeID="_x0000_i1026" DrawAspect="Content" ObjectID="_1748670304" r:id="rId19"/>
        </w:object>
      </w:r>
      <w:r w:rsidRPr="00722D2B">
        <w:rPr>
          <w:i/>
          <w:sz w:val="28"/>
          <w:szCs w:val="18"/>
        </w:rPr>
        <w:t>)]</w:t>
      </w:r>
    </w:p>
    <w:p w:rsidR="00056536" w:rsidP="00056536" w:rsidRDefault="00056536" w14:paraId="05D9DB44" w14:textId="77777777">
      <w:pPr>
        <w:rPr>
          <w:sz w:val="22"/>
          <w:szCs w:val="18"/>
        </w:rPr>
      </w:pPr>
    </w:p>
    <w:p w:rsidR="00722D2B" w:rsidP="00056536" w:rsidRDefault="00056536" w14:paraId="63AFF6E5" w14:textId="5DBF101C">
      <w:pPr>
        <w:rPr>
          <w:sz w:val="22"/>
          <w:szCs w:val="18"/>
        </w:rPr>
      </w:pPr>
      <w:r>
        <w:rPr>
          <w:sz w:val="22"/>
          <w:szCs w:val="18"/>
        </w:rPr>
        <w:t>The</w:t>
      </w:r>
      <w:r w:rsidRPr="00F1345F">
        <w:rPr>
          <w:sz w:val="22"/>
          <w:szCs w:val="18"/>
        </w:rPr>
        <w:t xml:space="preserve"> percentage of </w:t>
      </w:r>
      <w:r>
        <w:rPr>
          <w:sz w:val="22"/>
          <w:szCs w:val="18"/>
        </w:rPr>
        <w:t xml:space="preserve">estimated contract dollars categorized by NAICS code multiplied by </w:t>
      </w:r>
      <w:r w:rsidRPr="00F1345F">
        <w:rPr>
          <w:sz w:val="22"/>
          <w:szCs w:val="18"/>
        </w:rPr>
        <w:t>the</w:t>
      </w:r>
      <w:r>
        <w:rPr>
          <w:sz w:val="22"/>
          <w:szCs w:val="18"/>
        </w:rPr>
        <w:t xml:space="preserve"> relative DBE availability percentage for each NAICS code yields a weighted base figure of 1.66%.</w:t>
      </w:r>
    </w:p>
    <w:p w:rsidRPr="00856046" w:rsidR="00056536" w:rsidP="004155B3" w:rsidRDefault="00056536" w14:paraId="1A64939E" w14:textId="77777777">
      <w:pPr>
        <w:jc w:val="center"/>
        <w:rPr>
          <w:strike/>
          <w:sz w:val="22"/>
          <w:szCs w:val="18"/>
        </w:rPr>
      </w:pPr>
    </w:p>
    <w:p w:rsidRPr="00856046" w:rsidR="00D1228A" w:rsidP="005524D5" w:rsidRDefault="009C4109" w14:paraId="2FE311EF" w14:textId="77777777">
      <w:pPr>
        <w:widowControl/>
        <w:numPr>
          <w:ilvl w:val="0"/>
          <w:numId w:val="7"/>
        </w:numPr>
        <w:spacing w:before="4"/>
        <w:ind w:left="720"/>
        <w:rPr>
          <w:rFonts w:eastAsia="Calibri Light" w:cs="Arial"/>
          <w:b/>
          <w:snapToGrid/>
          <w:color w:val="2E5395"/>
          <w:szCs w:val="22"/>
          <w:u w:val="single"/>
        </w:rPr>
      </w:pPr>
      <w:r w:rsidRPr="00856046">
        <w:rPr>
          <w:rFonts w:eastAsia="Calibri Light" w:cs="Arial"/>
          <w:b/>
          <w:snapToGrid/>
          <w:color w:val="2E5395"/>
          <w:szCs w:val="22"/>
          <w:u w:val="single"/>
        </w:rPr>
        <w:t>STEP 2: BASE FIGURE ADJUSTMENT DETERMINATION</w:t>
      </w:r>
    </w:p>
    <w:p w:rsidRPr="00856046" w:rsidR="00D1228A" w:rsidP="00D1228A" w:rsidRDefault="00D1228A" w14:paraId="3533CB3A" w14:textId="77777777">
      <w:pPr>
        <w:jc w:val="both"/>
        <w:rPr>
          <w:sz w:val="20"/>
          <w:szCs w:val="18"/>
        </w:rPr>
      </w:pPr>
    </w:p>
    <w:p w:rsidRPr="00856046" w:rsidR="00D1228A" w:rsidP="00D1228A" w:rsidRDefault="00CD1D16" w14:paraId="1F083BE6" w14:textId="77777777">
      <w:pPr>
        <w:pStyle w:val="BodyText"/>
        <w:rPr>
          <w:strike w:val="0"/>
          <w:sz w:val="22"/>
          <w:szCs w:val="18"/>
        </w:rPr>
      </w:pPr>
      <w:r w:rsidRPr="00856046">
        <w:rPr>
          <w:strike w:val="0"/>
          <w:sz w:val="22"/>
          <w:szCs w:val="18"/>
        </w:rPr>
        <w:t>49</w:t>
      </w:r>
      <w:r w:rsidRPr="00856046" w:rsidR="00D1228A">
        <w:rPr>
          <w:strike w:val="0"/>
          <w:sz w:val="22"/>
          <w:szCs w:val="18"/>
        </w:rPr>
        <w:t xml:space="preserve"> C.F.R. </w:t>
      </w:r>
      <w:r w:rsidRPr="00856046" w:rsidR="00827B65">
        <w:rPr>
          <w:strike w:val="0"/>
          <w:sz w:val="22"/>
          <w:szCs w:val="18"/>
        </w:rPr>
        <w:t>Section 26.45</w:t>
      </w:r>
      <w:r w:rsidRPr="00856046" w:rsidR="00833498">
        <w:rPr>
          <w:strike w:val="0"/>
          <w:sz w:val="22"/>
          <w:szCs w:val="18"/>
        </w:rPr>
        <w:t xml:space="preserve"> </w:t>
      </w:r>
      <w:r w:rsidRPr="00856046" w:rsidR="00D1228A">
        <w:rPr>
          <w:strike w:val="0"/>
          <w:sz w:val="22"/>
          <w:szCs w:val="18"/>
        </w:rPr>
        <w:t>Part 26</w:t>
      </w:r>
      <w:r w:rsidRPr="00856046" w:rsidR="00631C70">
        <w:rPr>
          <w:strike w:val="0"/>
          <w:sz w:val="22"/>
          <w:szCs w:val="18"/>
        </w:rPr>
        <w:t xml:space="preserve"> requires an examination of </w:t>
      </w:r>
      <w:r w:rsidRPr="00856046" w:rsidR="00D1228A">
        <w:rPr>
          <w:strike w:val="0"/>
          <w:sz w:val="22"/>
          <w:szCs w:val="18"/>
        </w:rPr>
        <w:t xml:space="preserve">available relevant evidence to determine </w:t>
      </w:r>
      <w:r w:rsidRPr="00856046" w:rsidR="00631C70">
        <w:rPr>
          <w:strike w:val="0"/>
          <w:sz w:val="22"/>
          <w:szCs w:val="18"/>
        </w:rPr>
        <w:t xml:space="preserve">what </w:t>
      </w:r>
      <w:r w:rsidRPr="00856046" w:rsidR="00D1228A">
        <w:rPr>
          <w:strike w:val="0"/>
          <w:sz w:val="22"/>
          <w:szCs w:val="18"/>
        </w:rPr>
        <w:t xml:space="preserve">additional adjustment to the Base Figure </w:t>
      </w:r>
      <w:r w:rsidRPr="00856046" w:rsidR="00BD42BC">
        <w:rPr>
          <w:strike w:val="0"/>
          <w:sz w:val="22"/>
          <w:szCs w:val="18"/>
        </w:rPr>
        <w:t xml:space="preserve">is </w:t>
      </w:r>
      <w:r w:rsidRPr="00856046" w:rsidR="00D1228A">
        <w:rPr>
          <w:strike w:val="0"/>
          <w:sz w:val="22"/>
          <w:szCs w:val="18"/>
        </w:rPr>
        <w:t>needed</w:t>
      </w:r>
      <w:r w:rsidRPr="00856046" w:rsidR="00BD42BC">
        <w:rPr>
          <w:strike w:val="0"/>
          <w:sz w:val="22"/>
          <w:szCs w:val="18"/>
        </w:rPr>
        <w:t>, if any,</w:t>
      </w:r>
      <w:r w:rsidRPr="00856046" w:rsidR="00D1228A">
        <w:rPr>
          <w:strike w:val="0"/>
          <w:sz w:val="22"/>
          <w:szCs w:val="18"/>
        </w:rPr>
        <w:t xml:space="preserve"> to narrowly tailor the Base Figure to </w:t>
      </w:r>
      <w:r w:rsidRPr="00856046" w:rsidR="00E221D8">
        <w:rPr>
          <w:strike w:val="0"/>
          <w:sz w:val="22"/>
          <w:szCs w:val="18"/>
        </w:rPr>
        <w:t>SacRT</w:t>
      </w:r>
      <w:r w:rsidRPr="00856046" w:rsidR="00D1228A">
        <w:rPr>
          <w:strike w:val="0"/>
          <w:sz w:val="22"/>
          <w:szCs w:val="18"/>
        </w:rPr>
        <w:t>'s marketplace</w:t>
      </w:r>
      <w:r w:rsidRPr="00856046" w:rsidR="00BD42BC">
        <w:rPr>
          <w:strike w:val="0"/>
          <w:sz w:val="22"/>
          <w:szCs w:val="18"/>
        </w:rPr>
        <w:t xml:space="preserve"> and establish the overall goal</w:t>
      </w:r>
      <w:r w:rsidRPr="00856046" w:rsidR="00D1228A">
        <w:rPr>
          <w:strike w:val="0"/>
          <w:sz w:val="22"/>
          <w:szCs w:val="18"/>
        </w:rPr>
        <w:t>.</w:t>
      </w:r>
      <w:r w:rsidRPr="00856046" w:rsidR="002F0DF8">
        <w:rPr>
          <w:strike w:val="0"/>
          <w:sz w:val="22"/>
          <w:szCs w:val="18"/>
        </w:rPr>
        <w:t xml:space="preserve"> </w:t>
      </w:r>
    </w:p>
    <w:p w:rsidRPr="00856046" w:rsidR="003C29ED" w:rsidP="00873DF4" w:rsidRDefault="003C29ED" w14:paraId="19EEB981" w14:textId="77777777">
      <w:pPr>
        <w:widowControl/>
        <w:spacing w:before="4"/>
        <w:rPr>
          <w:rFonts w:eastAsia="Calibri Light" w:cs="Arial"/>
          <w:b/>
          <w:snapToGrid/>
          <w:color w:val="2E5395"/>
          <w:sz w:val="22"/>
          <w:szCs w:val="22"/>
          <w:u w:val="single"/>
        </w:rPr>
      </w:pPr>
    </w:p>
    <w:p w:rsidRPr="00856046" w:rsidR="00D1228A" w:rsidP="00873DF4" w:rsidRDefault="003C29ED" w14:paraId="764F4042" w14:textId="77777777">
      <w:pPr>
        <w:widowControl/>
        <w:spacing w:before="4"/>
        <w:rPr>
          <w:rFonts w:eastAsia="Calibri Light" w:cs="Arial"/>
          <w:b/>
          <w:snapToGrid/>
          <w:color w:val="2E5395"/>
          <w:sz w:val="22"/>
          <w:szCs w:val="22"/>
          <w:u w:val="single"/>
        </w:rPr>
      </w:pPr>
      <w:r w:rsidRPr="00856046">
        <w:rPr>
          <w:rFonts w:eastAsia="Calibri Light" w:cs="Arial"/>
          <w:b/>
          <w:snapToGrid/>
          <w:color w:val="2E5395"/>
          <w:sz w:val="22"/>
          <w:szCs w:val="22"/>
          <w:u w:val="single"/>
        </w:rPr>
        <w:t xml:space="preserve">STEP 2, Part A: </w:t>
      </w:r>
      <w:r w:rsidRPr="00856046" w:rsidR="00D1228A">
        <w:rPr>
          <w:rFonts w:eastAsia="Calibri Light" w:cs="Arial"/>
          <w:b/>
          <w:snapToGrid/>
          <w:color w:val="2E5395"/>
          <w:sz w:val="22"/>
          <w:szCs w:val="22"/>
          <w:u w:val="single"/>
        </w:rPr>
        <w:t>Current Capacity of DBEs Measured by Actual Attainments</w:t>
      </w:r>
    </w:p>
    <w:p w:rsidRPr="00856046" w:rsidR="00D1228A" w:rsidP="00D1228A" w:rsidRDefault="00D1228A" w14:paraId="59611F3B" w14:textId="77777777">
      <w:pPr>
        <w:jc w:val="both"/>
        <w:rPr>
          <w:sz w:val="14"/>
          <w:szCs w:val="14"/>
        </w:rPr>
      </w:pPr>
    </w:p>
    <w:p w:rsidRPr="00856046" w:rsidR="00D1228A" w:rsidP="00D1228A" w:rsidRDefault="00BD42BC" w14:paraId="07DA9D03" w14:textId="79B05EBC">
      <w:pPr>
        <w:jc w:val="both"/>
        <w:rPr>
          <w:sz w:val="14"/>
          <w:szCs w:val="14"/>
        </w:rPr>
      </w:pPr>
      <w:r w:rsidRPr="00856046">
        <w:rPr>
          <w:sz w:val="22"/>
          <w:szCs w:val="18"/>
        </w:rPr>
        <w:t xml:space="preserve">SacRT considered the capacity of DBEs to perform work as measured by the </w:t>
      </w:r>
      <w:r w:rsidRPr="00856046" w:rsidR="003262E7">
        <w:rPr>
          <w:sz w:val="22"/>
          <w:szCs w:val="18"/>
        </w:rPr>
        <w:t xml:space="preserve">median </w:t>
      </w:r>
      <w:r w:rsidRPr="00856046">
        <w:rPr>
          <w:sz w:val="22"/>
          <w:szCs w:val="18"/>
        </w:rPr>
        <w:t xml:space="preserve">past participation of DBEs on </w:t>
      </w:r>
      <w:r w:rsidRPr="00856046" w:rsidR="00450A29">
        <w:rPr>
          <w:sz w:val="22"/>
          <w:szCs w:val="18"/>
        </w:rPr>
        <w:t>Sac</w:t>
      </w:r>
      <w:r w:rsidRPr="00856046" w:rsidR="00D1228A">
        <w:rPr>
          <w:sz w:val="22"/>
          <w:szCs w:val="18"/>
        </w:rPr>
        <w:t>RT's DOT-assisted contract</w:t>
      </w:r>
      <w:r w:rsidRPr="00856046">
        <w:rPr>
          <w:sz w:val="22"/>
          <w:szCs w:val="18"/>
        </w:rPr>
        <w:t>s</w:t>
      </w:r>
      <w:r w:rsidRPr="00856046" w:rsidR="00D1228A">
        <w:rPr>
          <w:sz w:val="22"/>
          <w:szCs w:val="18"/>
        </w:rPr>
        <w:t xml:space="preserve"> </w:t>
      </w:r>
      <w:r w:rsidRPr="00856046">
        <w:rPr>
          <w:sz w:val="22"/>
          <w:szCs w:val="18"/>
        </w:rPr>
        <w:t xml:space="preserve">for </w:t>
      </w:r>
      <w:r w:rsidRPr="00856046" w:rsidR="00AF5A16">
        <w:rPr>
          <w:sz w:val="22"/>
          <w:szCs w:val="18"/>
        </w:rPr>
        <w:t>two sets of FFYs</w:t>
      </w:r>
      <w:r w:rsidRPr="00856046" w:rsidR="0086024B">
        <w:rPr>
          <w:sz w:val="22"/>
          <w:szCs w:val="18"/>
        </w:rPr>
        <w:t xml:space="preserve"> for comparison purposes:</w:t>
      </w:r>
      <w:r w:rsidRPr="00856046" w:rsidR="00AF5A16">
        <w:rPr>
          <w:sz w:val="22"/>
          <w:szCs w:val="18"/>
        </w:rPr>
        <w:t xml:space="preserve"> </w:t>
      </w:r>
      <w:r w:rsidRPr="00856046" w:rsidR="00127395">
        <w:rPr>
          <w:sz w:val="22"/>
          <w:szCs w:val="18"/>
        </w:rPr>
        <w:t xml:space="preserve">1) </w:t>
      </w:r>
      <w:r w:rsidRPr="00856046">
        <w:rPr>
          <w:sz w:val="22"/>
          <w:szCs w:val="18"/>
        </w:rPr>
        <w:t xml:space="preserve">FFYs </w:t>
      </w:r>
      <w:r w:rsidRPr="00856046" w:rsidR="00D4155E">
        <w:rPr>
          <w:sz w:val="22"/>
          <w:szCs w:val="18"/>
        </w:rPr>
        <w:t>20</w:t>
      </w:r>
      <w:r w:rsidRPr="00856046" w:rsidR="00127395">
        <w:rPr>
          <w:sz w:val="22"/>
          <w:szCs w:val="18"/>
        </w:rPr>
        <w:t>18</w:t>
      </w:r>
      <w:r w:rsidRPr="00856046" w:rsidR="00D4155E">
        <w:rPr>
          <w:sz w:val="22"/>
          <w:szCs w:val="18"/>
        </w:rPr>
        <w:t xml:space="preserve"> </w:t>
      </w:r>
      <w:r w:rsidRPr="00856046">
        <w:rPr>
          <w:sz w:val="22"/>
          <w:szCs w:val="18"/>
        </w:rPr>
        <w:t>through 202</w:t>
      </w:r>
      <w:r w:rsidRPr="00856046" w:rsidR="00127395">
        <w:rPr>
          <w:sz w:val="22"/>
          <w:szCs w:val="18"/>
        </w:rPr>
        <w:t>2, and 2) FFYs 2020</w:t>
      </w:r>
      <w:r w:rsidRPr="00856046" w:rsidR="00A56DCA">
        <w:rPr>
          <w:sz w:val="22"/>
          <w:szCs w:val="18"/>
        </w:rPr>
        <w:t xml:space="preserve"> through </w:t>
      </w:r>
      <w:r w:rsidRPr="00856046" w:rsidR="00127395">
        <w:rPr>
          <w:sz w:val="22"/>
          <w:szCs w:val="18"/>
        </w:rPr>
        <w:t>2022</w:t>
      </w:r>
      <w:r w:rsidRPr="00856046">
        <w:rPr>
          <w:sz w:val="22"/>
          <w:szCs w:val="18"/>
        </w:rPr>
        <w:t>.</w:t>
      </w:r>
      <w:r w:rsidRPr="00856046" w:rsidR="00D4155E">
        <w:rPr>
          <w:sz w:val="22"/>
          <w:szCs w:val="18"/>
        </w:rPr>
        <w:t xml:space="preserve"> </w:t>
      </w:r>
      <w:r w:rsidRPr="00856046" w:rsidR="009926FC">
        <w:rPr>
          <w:sz w:val="22"/>
          <w:szCs w:val="18"/>
        </w:rPr>
        <w:t>Typically,</w:t>
      </w:r>
      <w:r w:rsidRPr="00856046" w:rsidR="00D4155E">
        <w:rPr>
          <w:sz w:val="22"/>
          <w:szCs w:val="18"/>
        </w:rPr>
        <w:t xml:space="preserve"> the median would be </w:t>
      </w:r>
      <w:r w:rsidRPr="00856046" w:rsidR="006E376B">
        <w:rPr>
          <w:sz w:val="22"/>
          <w:szCs w:val="18"/>
        </w:rPr>
        <w:t>established</w:t>
      </w:r>
      <w:r w:rsidRPr="00856046" w:rsidR="00D4155E">
        <w:rPr>
          <w:sz w:val="22"/>
          <w:szCs w:val="18"/>
        </w:rPr>
        <w:t xml:space="preserve"> using only the previous </w:t>
      </w:r>
      <w:r w:rsidRPr="00856046" w:rsidR="00A56DCA">
        <w:rPr>
          <w:sz w:val="22"/>
          <w:szCs w:val="18"/>
        </w:rPr>
        <w:t xml:space="preserve">three-year </w:t>
      </w:r>
      <w:r w:rsidRPr="00856046" w:rsidR="00D4155E">
        <w:rPr>
          <w:sz w:val="22"/>
          <w:szCs w:val="18"/>
        </w:rPr>
        <w:t xml:space="preserve">period; </w:t>
      </w:r>
      <w:r w:rsidRPr="00856046" w:rsidR="009926FC">
        <w:rPr>
          <w:sz w:val="22"/>
          <w:szCs w:val="18"/>
        </w:rPr>
        <w:t>however,</w:t>
      </w:r>
      <w:r w:rsidRPr="00856046" w:rsidR="008C45CD">
        <w:rPr>
          <w:sz w:val="22"/>
          <w:szCs w:val="18"/>
        </w:rPr>
        <w:t xml:space="preserve"> because of the </w:t>
      </w:r>
      <w:r w:rsidRPr="00856046" w:rsidR="0086024B">
        <w:rPr>
          <w:sz w:val="22"/>
          <w:szCs w:val="18"/>
        </w:rPr>
        <w:t>affects of COVID-19 pandemic in 2020 and 2021</w:t>
      </w:r>
      <w:r w:rsidRPr="00856046" w:rsidR="008C45CD">
        <w:rPr>
          <w:sz w:val="22"/>
          <w:szCs w:val="18"/>
        </w:rPr>
        <w:t xml:space="preserve">, </w:t>
      </w:r>
      <w:r w:rsidRPr="00856046" w:rsidR="00D4155E">
        <w:rPr>
          <w:sz w:val="22"/>
          <w:szCs w:val="18"/>
        </w:rPr>
        <w:t xml:space="preserve">SacRT determined that </w:t>
      </w:r>
      <w:r w:rsidRPr="00856046" w:rsidR="008C45CD">
        <w:rPr>
          <w:sz w:val="22"/>
          <w:szCs w:val="18"/>
        </w:rPr>
        <w:t>examination of</w:t>
      </w:r>
      <w:r w:rsidRPr="00856046" w:rsidR="0071456E">
        <w:rPr>
          <w:sz w:val="22"/>
          <w:szCs w:val="18"/>
        </w:rPr>
        <w:t xml:space="preserve"> both</w:t>
      </w:r>
      <w:r w:rsidRPr="00856046" w:rsidR="008C45CD">
        <w:rPr>
          <w:sz w:val="22"/>
          <w:szCs w:val="18"/>
        </w:rPr>
        <w:t xml:space="preserve"> </w:t>
      </w:r>
      <w:r w:rsidRPr="00856046" w:rsidR="00BB0F4F">
        <w:rPr>
          <w:sz w:val="22"/>
          <w:szCs w:val="18"/>
        </w:rPr>
        <w:t xml:space="preserve">the last 3 years and the last 5 years </w:t>
      </w:r>
      <w:r w:rsidRPr="00856046" w:rsidR="008C45CD">
        <w:rPr>
          <w:sz w:val="22"/>
          <w:szCs w:val="18"/>
        </w:rPr>
        <w:t xml:space="preserve">would yield a more </w:t>
      </w:r>
      <w:r w:rsidRPr="00856046" w:rsidR="00D4155E">
        <w:rPr>
          <w:sz w:val="22"/>
          <w:szCs w:val="18"/>
        </w:rPr>
        <w:t>median value</w:t>
      </w:r>
      <w:r w:rsidRPr="00856046" w:rsidR="006E376B">
        <w:rPr>
          <w:sz w:val="22"/>
          <w:szCs w:val="18"/>
        </w:rPr>
        <w:t xml:space="preserve"> for this </w:t>
      </w:r>
      <w:r w:rsidRPr="00856046" w:rsidR="0087052B">
        <w:rPr>
          <w:sz w:val="22"/>
          <w:szCs w:val="18"/>
        </w:rPr>
        <w:t>analysis</w:t>
      </w:r>
      <w:r w:rsidRPr="00856046" w:rsidR="008C45CD">
        <w:rPr>
          <w:sz w:val="22"/>
          <w:szCs w:val="18"/>
        </w:rPr>
        <w:t>.</w:t>
      </w:r>
      <w:r w:rsidRPr="00856046" w:rsidR="00BB0F4F">
        <w:rPr>
          <w:sz w:val="22"/>
          <w:szCs w:val="18"/>
        </w:rPr>
        <w:t xml:space="preserve"> </w:t>
      </w:r>
      <w:r w:rsidR="0087052B">
        <w:rPr>
          <w:sz w:val="22"/>
          <w:szCs w:val="18"/>
        </w:rPr>
        <w:t xml:space="preserve">However, </w:t>
      </w:r>
      <w:r w:rsidRPr="00856046" w:rsidR="00BB0F4F">
        <w:rPr>
          <w:sz w:val="22"/>
          <w:szCs w:val="18"/>
        </w:rPr>
        <w:t>both sets of data yielded the same</w:t>
      </w:r>
      <w:r w:rsidRPr="00856046" w:rsidR="00E42A51">
        <w:rPr>
          <w:sz w:val="22"/>
          <w:szCs w:val="18"/>
        </w:rPr>
        <w:t xml:space="preserve"> median, as shown below.</w:t>
      </w:r>
      <w:r w:rsidR="000E0D31">
        <w:rPr>
          <w:sz w:val="22"/>
          <w:szCs w:val="18"/>
        </w:rPr>
        <w:t xml:space="preserve"> </w:t>
      </w:r>
      <w:r w:rsidRPr="00856046">
        <w:rPr>
          <w:sz w:val="22"/>
          <w:szCs w:val="18"/>
        </w:rPr>
        <w:t>D</w:t>
      </w:r>
      <w:r w:rsidRPr="00856046" w:rsidR="001C592C">
        <w:rPr>
          <w:sz w:val="22"/>
          <w:szCs w:val="18"/>
        </w:rPr>
        <w:t>ata was taken from FTA</w:t>
      </w:r>
      <w:r w:rsidR="000A1256">
        <w:rPr>
          <w:sz w:val="22"/>
          <w:szCs w:val="18"/>
        </w:rPr>
        <w:t>-</w:t>
      </w:r>
      <w:r w:rsidRPr="00856046" w:rsidR="001C592C">
        <w:rPr>
          <w:sz w:val="22"/>
          <w:szCs w:val="18"/>
        </w:rPr>
        <w:t xml:space="preserve">approved </w:t>
      </w:r>
      <w:r w:rsidRPr="00856046">
        <w:rPr>
          <w:sz w:val="22"/>
          <w:szCs w:val="18"/>
        </w:rPr>
        <w:t xml:space="preserve">Semi-Annual </w:t>
      </w:r>
      <w:r w:rsidRPr="00856046" w:rsidR="001C592C">
        <w:rPr>
          <w:sz w:val="22"/>
          <w:szCs w:val="18"/>
        </w:rPr>
        <w:t>Uniform Reports</w:t>
      </w:r>
      <w:r w:rsidRPr="00856046">
        <w:rPr>
          <w:sz w:val="22"/>
          <w:szCs w:val="18"/>
        </w:rPr>
        <w:t xml:space="preserve"> of DBE Awards/Commitments</w:t>
      </w:r>
      <w:r w:rsidRPr="00856046" w:rsidR="00D1228A">
        <w:rPr>
          <w:sz w:val="22"/>
          <w:szCs w:val="18"/>
        </w:rPr>
        <w:t>.</w:t>
      </w:r>
      <w:r w:rsidRPr="00856046" w:rsidR="002F0DF8">
        <w:rPr>
          <w:sz w:val="22"/>
          <w:szCs w:val="18"/>
        </w:rPr>
        <w:t xml:space="preserve"> </w:t>
      </w:r>
      <w:r w:rsidRPr="00856046" w:rsidR="00631C70">
        <w:rPr>
          <w:sz w:val="22"/>
          <w:szCs w:val="18"/>
        </w:rPr>
        <w:t>Table 5</w:t>
      </w:r>
      <w:r w:rsidRPr="00856046" w:rsidR="00D1228A">
        <w:rPr>
          <w:sz w:val="22"/>
          <w:szCs w:val="18"/>
        </w:rPr>
        <w:t xml:space="preserve"> </w:t>
      </w:r>
      <w:r w:rsidRPr="00856046">
        <w:rPr>
          <w:sz w:val="22"/>
          <w:szCs w:val="18"/>
        </w:rPr>
        <w:t xml:space="preserve">summarizes </w:t>
      </w:r>
      <w:r w:rsidRPr="00856046" w:rsidR="00D1228A">
        <w:rPr>
          <w:sz w:val="22"/>
          <w:szCs w:val="18"/>
        </w:rPr>
        <w:t>the findings</w:t>
      </w:r>
      <w:r w:rsidRPr="00856046">
        <w:rPr>
          <w:sz w:val="22"/>
          <w:szCs w:val="18"/>
        </w:rPr>
        <w:t>.</w:t>
      </w:r>
    </w:p>
    <w:p w:rsidRPr="00856046" w:rsidR="00D520F6" w:rsidP="00D1228A" w:rsidRDefault="00D520F6" w14:paraId="68C62419" w14:textId="77777777">
      <w:pPr>
        <w:jc w:val="both"/>
        <w:rPr>
          <w:sz w:val="22"/>
          <w:szCs w:val="22"/>
        </w:rPr>
      </w:pPr>
    </w:p>
    <w:p w:rsidR="00722D2B" w:rsidRDefault="00722D2B" w14:paraId="60C61828" w14:textId="77777777">
      <w:pPr>
        <w:widowControl/>
        <w:rPr>
          <w:b/>
          <w:sz w:val="22"/>
          <w:szCs w:val="18"/>
        </w:rPr>
      </w:pPr>
      <w:r>
        <w:rPr>
          <w:b/>
          <w:sz w:val="22"/>
          <w:szCs w:val="18"/>
        </w:rPr>
        <w:br w:type="page"/>
      </w:r>
    </w:p>
    <w:p w:rsidRPr="00856046" w:rsidR="001C592C" w:rsidP="00D1228A" w:rsidRDefault="001C592C" w14:paraId="1463D323" w14:textId="7BEA2623">
      <w:pPr>
        <w:jc w:val="center"/>
        <w:rPr>
          <w:b/>
          <w:sz w:val="22"/>
          <w:szCs w:val="18"/>
        </w:rPr>
      </w:pPr>
      <w:r w:rsidRPr="00856046">
        <w:rPr>
          <w:b/>
          <w:sz w:val="22"/>
          <w:szCs w:val="18"/>
        </w:rPr>
        <w:lastRenderedPageBreak/>
        <w:t xml:space="preserve">Table </w:t>
      </w:r>
      <w:r w:rsidRPr="00856046" w:rsidR="00E42A51">
        <w:rPr>
          <w:b/>
          <w:sz w:val="22"/>
          <w:szCs w:val="18"/>
        </w:rPr>
        <w:t>5</w:t>
      </w:r>
      <w:r w:rsidRPr="00856046" w:rsidR="000B1D80">
        <w:rPr>
          <w:b/>
          <w:sz w:val="22"/>
          <w:szCs w:val="18"/>
        </w:rPr>
        <w:t>: Median Past Participation of DBEs</w:t>
      </w:r>
    </w:p>
    <w:p w:rsidRPr="00856046" w:rsidR="00D1228A" w:rsidP="00947D31" w:rsidRDefault="00F871C4" w14:paraId="54A7A973" w14:textId="3300BF38">
      <w:pPr>
        <w:jc w:val="center"/>
        <w:rPr>
          <w:sz w:val="22"/>
          <w:szCs w:val="18"/>
        </w:rPr>
      </w:pPr>
      <w:r w:rsidRPr="00856046">
        <w:rPr>
          <w:noProof/>
          <w:sz w:val="22"/>
          <w:szCs w:val="18"/>
        </w:rPr>
        <w:drawing>
          <wp:inline distT="0" distB="0" distL="0" distR="0" wp14:anchorId="61F5EEAA" wp14:editId="33EE55A0">
            <wp:extent cx="4145703" cy="2154804"/>
            <wp:effectExtent l="0" t="0" r="7620" b="0"/>
            <wp:docPr id="19904861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9880" cy="2156975"/>
                    </a:xfrm>
                    <a:prstGeom prst="rect">
                      <a:avLst/>
                    </a:prstGeom>
                    <a:noFill/>
                    <a:ln>
                      <a:noFill/>
                    </a:ln>
                  </pic:spPr>
                </pic:pic>
              </a:graphicData>
            </a:graphic>
          </wp:inline>
        </w:drawing>
      </w:r>
    </w:p>
    <w:p w:rsidRPr="00856046" w:rsidR="00A47255" w:rsidP="00D1228A" w:rsidRDefault="00A47255" w14:paraId="3F1C8269" w14:textId="77777777">
      <w:pPr>
        <w:jc w:val="both"/>
        <w:rPr>
          <w:b/>
          <w:sz w:val="22"/>
          <w:szCs w:val="22"/>
        </w:rPr>
      </w:pPr>
    </w:p>
    <w:p w:rsidRPr="00856046" w:rsidR="001C592C" w:rsidP="001C592C" w:rsidRDefault="00231E80" w14:paraId="40017A11" w14:textId="4A3A88DC">
      <w:pPr>
        <w:jc w:val="both"/>
        <w:rPr>
          <w:rFonts w:cs="Arial"/>
          <w:sz w:val="22"/>
        </w:rPr>
      </w:pPr>
      <w:r w:rsidRPr="00856046">
        <w:rPr>
          <w:sz w:val="22"/>
          <w:szCs w:val="22"/>
        </w:rPr>
        <w:t xml:space="preserve">Because the </w:t>
      </w:r>
      <w:r w:rsidRPr="00856046" w:rsidR="008C45CD">
        <w:rPr>
          <w:sz w:val="22"/>
          <w:szCs w:val="22"/>
        </w:rPr>
        <w:t>FTA</w:t>
      </w:r>
      <w:r w:rsidRPr="00856046">
        <w:rPr>
          <w:sz w:val="22"/>
          <w:szCs w:val="22"/>
        </w:rPr>
        <w:t>-assisted contracts that SacRT anticipates awarding for the upcoming period are substantially similar to those awarded during the prior goal-setting period</w:t>
      </w:r>
      <w:r w:rsidRPr="00856046" w:rsidR="008C45CD">
        <w:rPr>
          <w:sz w:val="22"/>
          <w:szCs w:val="22"/>
        </w:rPr>
        <w:t>s</w:t>
      </w:r>
      <w:r w:rsidRPr="00856046">
        <w:rPr>
          <w:sz w:val="22"/>
          <w:szCs w:val="22"/>
        </w:rPr>
        <w:t xml:space="preserve">, it is appropriate </w:t>
      </w:r>
      <w:r w:rsidR="00164514">
        <w:rPr>
          <w:sz w:val="22"/>
          <w:szCs w:val="22"/>
        </w:rPr>
        <w:t>to use</w:t>
      </w:r>
      <w:r w:rsidR="0075577A">
        <w:rPr>
          <w:sz w:val="22"/>
          <w:szCs w:val="22"/>
        </w:rPr>
        <w:t xml:space="preserve"> the median</w:t>
      </w:r>
      <w:r w:rsidR="00164514">
        <w:rPr>
          <w:sz w:val="22"/>
          <w:szCs w:val="22"/>
        </w:rPr>
        <w:t xml:space="preserve"> past participation</w:t>
      </w:r>
      <w:r w:rsidR="0075577A">
        <w:rPr>
          <w:sz w:val="22"/>
          <w:szCs w:val="22"/>
        </w:rPr>
        <w:t xml:space="preserve"> </w:t>
      </w:r>
      <w:r w:rsidR="00164514">
        <w:rPr>
          <w:sz w:val="22"/>
          <w:szCs w:val="22"/>
        </w:rPr>
        <w:t xml:space="preserve">methodology </w:t>
      </w:r>
      <w:r w:rsidR="0075577A">
        <w:rPr>
          <w:sz w:val="22"/>
          <w:szCs w:val="22"/>
        </w:rPr>
        <w:t>to make an</w:t>
      </w:r>
      <w:r w:rsidRPr="00856046" w:rsidR="0089794F">
        <w:rPr>
          <w:sz w:val="22"/>
          <w:szCs w:val="22"/>
        </w:rPr>
        <w:t xml:space="preserve"> adjustment </w:t>
      </w:r>
      <w:r w:rsidR="0075577A">
        <w:rPr>
          <w:sz w:val="22"/>
          <w:szCs w:val="22"/>
        </w:rPr>
        <w:t>to</w:t>
      </w:r>
      <w:r w:rsidRPr="00856046" w:rsidR="0089794F">
        <w:rPr>
          <w:sz w:val="22"/>
          <w:szCs w:val="22"/>
        </w:rPr>
        <w:t xml:space="preserve"> the base figure. </w:t>
      </w:r>
      <w:r w:rsidR="0075577A">
        <w:rPr>
          <w:sz w:val="22"/>
          <w:szCs w:val="22"/>
        </w:rPr>
        <w:t xml:space="preserve">In this case, </w:t>
      </w:r>
      <w:r w:rsidR="00373DFA">
        <w:rPr>
          <w:sz w:val="22"/>
          <w:szCs w:val="22"/>
        </w:rPr>
        <w:t xml:space="preserve">application of the median results in an upward </w:t>
      </w:r>
      <w:r w:rsidR="00D41E1B">
        <w:rPr>
          <w:sz w:val="22"/>
          <w:szCs w:val="22"/>
        </w:rPr>
        <w:t>adjustment</w:t>
      </w:r>
      <w:r w:rsidR="00373DFA">
        <w:rPr>
          <w:sz w:val="22"/>
          <w:szCs w:val="22"/>
        </w:rPr>
        <w:t xml:space="preserve"> of the</w:t>
      </w:r>
      <w:r w:rsidRPr="00856046" w:rsidR="0089794F">
        <w:rPr>
          <w:sz w:val="22"/>
          <w:szCs w:val="22"/>
        </w:rPr>
        <w:t xml:space="preserve"> </w:t>
      </w:r>
      <w:r w:rsidR="00D41E1B">
        <w:rPr>
          <w:sz w:val="22"/>
          <w:szCs w:val="22"/>
        </w:rPr>
        <w:t xml:space="preserve">base figure. </w:t>
      </w:r>
      <w:r w:rsidRPr="00856046" w:rsidR="001C592C">
        <w:rPr>
          <w:rFonts w:cs="Arial"/>
          <w:sz w:val="22"/>
        </w:rPr>
        <w:t xml:space="preserve">To arrive at an overall goal, SacRT averaged the Step 1 weighted base figure </w:t>
      </w:r>
      <w:r w:rsidR="001B0387">
        <w:rPr>
          <w:rFonts w:cs="Arial"/>
          <w:sz w:val="22"/>
        </w:rPr>
        <w:t>1.59</w:t>
      </w:r>
      <w:r w:rsidRPr="00856046" w:rsidR="001C592C">
        <w:rPr>
          <w:rFonts w:cs="Arial"/>
          <w:sz w:val="22"/>
        </w:rPr>
        <w:t xml:space="preserve">% with the Step 2 past participation </w:t>
      </w:r>
      <w:r w:rsidRPr="00856046" w:rsidR="003262E7">
        <w:rPr>
          <w:rFonts w:cs="Arial"/>
          <w:sz w:val="22"/>
        </w:rPr>
        <w:t xml:space="preserve">median </w:t>
      </w:r>
      <w:r w:rsidRPr="00856046" w:rsidR="001C592C">
        <w:rPr>
          <w:rFonts w:cs="Arial"/>
          <w:sz w:val="22"/>
        </w:rPr>
        <w:t xml:space="preserve">accomplishment of </w:t>
      </w:r>
      <w:r w:rsidRPr="00856046" w:rsidR="002D7338">
        <w:rPr>
          <w:rFonts w:cs="Arial"/>
          <w:sz w:val="22"/>
        </w:rPr>
        <w:t>2.87</w:t>
      </w:r>
      <w:r w:rsidRPr="00856046" w:rsidR="001C592C">
        <w:rPr>
          <w:rFonts w:cs="Arial"/>
          <w:sz w:val="22"/>
        </w:rPr>
        <w:t xml:space="preserve">% to further refine SacRT’s goal to arrive at an </w:t>
      </w:r>
      <w:r w:rsidRPr="00856046" w:rsidR="005C2A23">
        <w:rPr>
          <w:rFonts w:cs="Arial"/>
          <w:b/>
          <w:sz w:val="22"/>
        </w:rPr>
        <w:t>O</w:t>
      </w:r>
      <w:r w:rsidRPr="00856046" w:rsidR="001C592C">
        <w:rPr>
          <w:rFonts w:cs="Arial"/>
          <w:b/>
          <w:sz w:val="22"/>
        </w:rPr>
        <w:t>verall</w:t>
      </w:r>
      <w:r w:rsidRPr="00856046" w:rsidR="005C2A23">
        <w:rPr>
          <w:rFonts w:cs="Arial"/>
          <w:b/>
          <w:sz w:val="22"/>
        </w:rPr>
        <w:t xml:space="preserve"> DBE</w:t>
      </w:r>
      <w:r w:rsidRPr="00856046" w:rsidR="001C592C">
        <w:rPr>
          <w:rFonts w:cs="Arial"/>
          <w:b/>
          <w:sz w:val="22"/>
        </w:rPr>
        <w:t xml:space="preserve"> </w:t>
      </w:r>
      <w:r w:rsidRPr="00856046" w:rsidR="005C2A23">
        <w:rPr>
          <w:rFonts w:cs="Arial"/>
          <w:b/>
          <w:sz w:val="22"/>
        </w:rPr>
        <w:t>G</w:t>
      </w:r>
      <w:r w:rsidRPr="00856046" w:rsidR="001C592C">
        <w:rPr>
          <w:rFonts w:cs="Arial"/>
          <w:b/>
          <w:sz w:val="22"/>
        </w:rPr>
        <w:t xml:space="preserve">oal of </w:t>
      </w:r>
      <w:r w:rsidR="001B0387">
        <w:rPr>
          <w:rFonts w:cs="Arial"/>
          <w:b/>
          <w:sz w:val="22"/>
        </w:rPr>
        <w:t>2.2</w:t>
      </w:r>
      <w:r w:rsidR="00083600">
        <w:rPr>
          <w:rFonts w:cs="Arial"/>
          <w:b/>
          <w:sz w:val="22"/>
        </w:rPr>
        <w:t>6</w:t>
      </w:r>
      <w:r w:rsidRPr="00856046" w:rsidR="001C592C">
        <w:rPr>
          <w:rFonts w:cs="Arial"/>
          <w:b/>
          <w:sz w:val="22"/>
        </w:rPr>
        <w:t>%.</w:t>
      </w:r>
      <w:r w:rsidRPr="00856046" w:rsidR="001C592C">
        <w:rPr>
          <w:rFonts w:cs="Arial"/>
          <w:sz w:val="22"/>
        </w:rPr>
        <w:t xml:space="preserve"> </w:t>
      </w:r>
    </w:p>
    <w:p w:rsidRPr="00856046" w:rsidR="002D7338" w:rsidP="001C592C" w:rsidRDefault="002D7338" w14:paraId="044849AE" w14:textId="77777777">
      <w:pPr>
        <w:jc w:val="both"/>
        <w:rPr>
          <w:rFonts w:cs="Arial"/>
          <w:sz w:val="22"/>
        </w:rPr>
      </w:pPr>
    </w:p>
    <w:p w:rsidRPr="00856046" w:rsidR="001C592C" w:rsidP="005524D5" w:rsidRDefault="00083600" w14:paraId="13B4AF8D" w14:textId="530550EB">
      <w:pPr>
        <w:jc w:val="center"/>
        <w:rPr>
          <w:rFonts w:cs="Arial"/>
          <w:sz w:val="22"/>
        </w:rPr>
      </w:pPr>
      <w:r w:rsidRPr="00F1147A">
        <w:drawing>
          <wp:inline distT="0" distB="0" distL="0" distR="0" wp14:anchorId="0DFE1B98" wp14:editId="68754FFC">
            <wp:extent cx="3143250" cy="581025"/>
            <wp:effectExtent l="0" t="0" r="0" b="9525"/>
            <wp:docPr id="401420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581025"/>
                    </a:xfrm>
                    <a:prstGeom prst="rect">
                      <a:avLst/>
                    </a:prstGeom>
                    <a:noFill/>
                    <a:ln>
                      <a:noFill/>
                    </a:ln>
                  </pic:spPr>
                </pic:pic>
              </a:graphicData>
            </a:graphic>
          </wp:inline>
        </w:drawing>
      </w:r>
    </w:p>
    <w:p w:rsidRPr="002D7338" w:rsidR="00BD42BC" w:rsidP="005524D5" w:rsidRDefault="00BD42BC" w14:paraId="15BF71BE" w14:textId="77777777">
      <w:pPr>
        <w:jc w:val="center"/>
        <w:rPr>
          <w:rFonts w:cs="Arial"/>
          <w:i/>
          <w:sz w:val="18"/>
          <w:szCs w:val="22"/>
        </w:rPr>
      </w:pPr>
    </w:p>
    <w:p w:rsidRPr="002D7338" w:rsidR="00631C70" w:rsidP="005524D5" w:rsidRDefault="00BD42BC" w14:paraId="6C7B3E5E" w14:textId="77777777">
      <w:pPr>
        <w:jc w:val="center"/>
        <w:rPr>
          <w:rFonts w:cs="Arial"/>
          <w:i/>
          <w:sz w:val="18"/>
          <w:szCs w:val="22"/>
        </w:rPr>
      </w:pPr>
      <w:r w:rsidRPr="002D7338">
        <w:rPr>
          <w:rFonts w:cs="Arial"/>
          <w:i/>
          <w:sz w:val="18"/>
          <w:szCs w:val="22"/>
        </w:rPr>
        <w:t xml:space="preserve">(Base Figure + </w:t>
      </w:r>
      <w:r w:rsidRPr="002D7338" w:rsidR="003262E7">
        <w:rPr>
          <w:rFonts w:cs="Arial"/>
          <w:i/>
          <w:sz w:val="18"/>
          <w:szCs w:val="22"/>
        </w:rPr>
        <w:t xml:space="preserve">Median </w:t>
      </w:r>
      <w:r w:rsidRPr="002D7338">
        <w:rPr>
          <w:rFonts w:cs="Arial"/>
          <w:i/>
          <w:sz w:val="18"/>
          <w:szCs w:val="22"/>
        </w:rPr>
        <w:t>Past Participation) / 2 = Adjusted Base Figure</w:t>
      </w:r>
    </w:p>
    <w:p w:rsidR="002D7338" w:rsidP="00D1228A" w:rsidRDefault="002D7338" w14:paraId="01B25985" w14:textId="77777777">
      <w:pPr>
        <w:jc w:val="both"/>
        <w:rPr>
          <w:rFonts w:cs="Arial"/>
          <w:sz w:val="22"/>
        </w:rPr>
      </w:pPr>
    </w:p>
    <w:p w:rsidR="001C6B97" w:rsidP="00D1228A" w:rsidRDefault="001C6B97" w14:paraId="2EAC90D8" w14:textId="77777777">
      <w:pPr>
        <w:jc w:val="both"/>
        <w:rPr>
          <w:rFonts w:cs="Arial"/>
          <w:b/>
          <w:bCs/>
          <w:sz w:val="22"/>
        </w:rPr>
      </w:pPr>
    </w:p>
    <w:p w:rsidR="001C6B97" w:rsidP="00D1228A" w:rsidRDefault="001C6B97" w14:paraId="29A952A5" w14:textId="77777777">
      <w:pPr>
        <w:jc w:val="both"/>
        <w:rPr>
          <w:rFonts w:cs="Arial"/>
          <w:b/>
          <w:bCs/>
          <w:sz w:val="22"/>
        </w:rPr>
      </w:pPr>
    </w:p>
    <w:p w:rsidR="001C6B97" w:rsidP="00D1228A" w:rsidRDefault="001C6B97" w14:paraId="6DFC9768" w14:textId="77777777">
      <w:pPr>
        <w:jc w:val="both"/>
        <w:rPr>
          <w:rFonts w:cs="Arial"/>
          <w:b/>
          <w:bCs/>
          <w:sz w:val="22"/>
        </w:rPr>
      </w:pPr>
    </w:p>
    <w:p w:rsidR="001C6B97" w:rsidP="00D1228A" w:rsidRDefault="001C6B97" w14:paraId="607F6B8F" w14:textId="5FD448E0">
      <w:pPr>
        <w:jc w:val="both"/>
        <w:rPr>
          <w:rFonts w:cs="Arial"/>
          <w:b/>
          <w:bCs/>
          <w:sz w:val="22"/>
        </w:rPr>
      </w:pPr>
      <w:r w:rsidRPr="001C6B97">
        <w:rPr>
          <w:rFonts w:cs="Arial"/>
          <w:b/>
          <w:bCs/>
          <w:sz w:val="22"/>
        </w:rPr>
        <w:t>Public Review and Comments</w:t>
      </w:r>
    </w:p>
    <w:p w:rsidRPr="0067722D" w:rsidR="001C6B97" w:rsidP="00D1228A" w:rsidRDefault="001C6B97" w14:paraId="3243E816" w14:textId="77777777">
      <w:pPr>
        <w:jc w:val="both"/>
        <w:rPr>
          <w:rFonts w:cs="Arial"/>
          <w:sz w:val="20"/>
          <w:szCs w:val="18"/>
        </w:rPr>
      </w:pPr>
    </w:p>
    <w:p w:rsidRPr="0067722D" w:rsidR="0067722D" w:rsidP="0067722D" w:rsidRDefault="0067722D" w14:paraId="3C809146" w14:textId="77777777">
      <w:pPr>
        <w:rPr>
          <w:rFonts w:eastAsia="Arial" w:cs="Arial"/>
          <w:sz w:val="22"/>
          <w:szCs w:val="22"/>
        </w:rPr>
      </w:pPr>
      <w:r w:rsidRPr="0067722D">
        <w:rPr>
          <w:rFonts w:eastAsia="Arial" w:cs="Arial"/>
          <w:sz w:val="22"/>
          <w:szCs w:val="22"/>
        </w:rPr>
        <w:t xml:space="preserve">SacRT will accept public comments for a 30-day period beginning June 12, 2023 and ending July 12, 2023. </w:t>
      </w:r>
    </w:p>
    <w:p w:rsidRPr="0067722D" w:rsidR="0067722D" w:rsidP="0067722D" w:rsidRDefault="0067722D" w14:paraId="2B51F163" w14:textId="77777777">
      <w:pPr>
        <w:rPr>
          <w:rFonts w:eastAsia="Arial" w:cs="Arial"/>
          <w:sz w:val="22"/>
          <w:szCs w:val="22"/>
        </w:rPr>
      </w:pPr>
    </w:p>
    <w:p w:rsidRPr="0067722D" w:rsidR="0067722D" w:rsidP="0067722D" w:rsidRDefault="0067722D" w14:paraId="01A63D55" w14:textId="77777777">
      <w:pPr>
        <w:rPr>
          <w:rFonts w:eastAsia="Arial" w:cs="Arial"/>
          <w:sz w:val="22"/>
          <w:szCs w:val="22"/>
        </w:rPr>
      </w:pPr>
      <w:r w:rsidRPr="0067722D">
        <w:rPr>
          <w:rFonts w:eastAsia="Arial" w:cs="Arial"/>
          <w:sz w:val="22"/>
          <w:szCs w:val="22"/>
        </w:rPr>
        <w:t>Please send comments to:</w:t>
      </w:r>
    </w:p>
    <w:p w:rsidRPr="0067722D" w:rsidR="0067722D" w:rsidP="0067722D" w:rsidRDefault="0067722D" w14:paraId="618B9B9A" w14:textId="77777777">
      <w:pPr>
        <w:rPr>
          <w:rFonts w:eastAsia="Arial" w:cs="Arial"/>
          <w:sz w:val="22"/>
          <w:szCs w:val="22"/>
        </w:rPr>
      </w:pPr>
      <w:r w:rsidRPr="0067722D">
        <w:rPr>
          <w:rFonts w:eastAsia="Arial" w:cs="Arial"/>
          <w:sz w:val="22"/>
          <w:szCs w:val="22"/>
        </w:rPr>
        <w:t>Jessica Bennick Shevlin</w:t>
      </w:r>
    </w:p>
    <w:p w:rsidRPr="0067722D" w:rsidR="0067722D" w:rsidP="0067722D" w:rsidRDefault="0067722D" w14:paraId="43DD45DA" w14:textId="77777777">
      <w:pPr>
        <w:rPr>
          <w:rFonts w:eastAsia="Arial" w:cs="Arial"/>
          <w:sz w:val="22"/>
          <w:szCs w:val="22"/>
        </w:rPr>
      </w:pPr>
      <w:r w:rsidRPr="0067722D">
        <w:rPr>
          <w:rFonts w:eastAsia="Arial" w:cs="Arial"/>
          <w:sz w:val="22"/>
          <w:szCs w:val="22"/>
        </w:rPr>
        <w:t>SacRT DBE Liaison Officer</w:t>
      </w:r>
    </w:p>
    <w:p w:rsidRPr="0067722D" w:rsidR="0067722D" w:rsidP="0067722D" w:rsidRDefault="003672C8" w14:paraId="1ACD9882" w14:textId="77777777">
      <w:pPr>
        <w:rPr>
          <w:rFonts w:eastAsia="Arial" w:cs="Arial"/>
          <w:sz w:val="22"/>
          <w:szCs w:val="22"/>
        </w:rPr>
      </w:pPr>
      <w:hyperlink w:history="1" r:id="rId22">
        <w:r w:rsidRPr="0067722D" w:rsidR="0067722D">
          <w:rPr>
            <w:rStyle w:val="Hyperlink"/>
            <w:rFonts w:eastAsia="Arial" w:cs="Arial"/>
            <w:sz w:val="22"/>
            <w:szCs w:val="22"/>
          </w:rPr>
          <w:t>jshevlin@sacrt.com</w:t>
        </w:r>
      </w:hyperlink>
      <w:r w:rsidRPr="0067722D" w:rsidR="0067722D">
        <w:rPr>
          <w:rFonts w:eastAsia="Arial" w:cs="Arial"/>
          <w:sz w:val="22"/>
          <w:szCs w:val="22"/>
        </w:rPr>
        <w:t xml:space="preserve"> </w:t>
      </w:r>
    </w:p>
    <w:p w:rsidRPr="0067722D" w:rsidR="00F97B9A" w:rsidP="0067722D" w:rsidRDefault="00F97B9A" w14:paraId="487E5664" w14:textId="7A3ACABC">
      <w:pPr>
        <w:jc w:val="both"/>
        <w:rPr>
          <w:rFonts w:cs="Arial"/>
          <w:sz w:val="20"/>
          <w:szCs w:val="18"/>
        </w:rPr>
      </w:pPr>
    </w:p>
    <w:sectPr w:rsidRPr="0067722D" w:rsidR="00F97B9A" w:rsidSect="00855047">
      <w:headerReference w:type="even" r:id="rId23"/>
      <w:headerReference w:type="default" r:id="rId24"/>
      <w:footerReference w:type="default" r:id="rId25"/>
      <w:headerReference w:type="first" r:id="rId26"/>
      <w:endnotePr>
        <w:numFmt w:val="decimal"/>
      </w:endnotePr>
      <w:pgSz w:w="12240" w:h="15840" w:orient="portrait" w:code="1"/>
      <w:pgMar w:top="950" w:right="1080" w:bottom="720" w:left="1080" w:header="720" w:footer="432"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22C8B" w:rsidRDefault="00A22C8B" w14:paraId="125956A1" w14:textId="77777777">
      <w:r>
        <w:separator/>
      </w:r>
    </w:p>
  </w:endnote>
  <w:endnote w:type="continuationSeparator" w:id="0">
    <w:p w:rsidR="00A22C8B" w:rsidRDefault="00A22C8B" w14:paraId="76C3342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F2E26" w:rsidP="00276A0E" w:rsidRDefault="00276A0E" w14:paraId="21A25731" w14:textId="1E2B8C5E">
    <w:pPr>
      <w:pStyle w:val="Footer"/>
      <w:tabs>
        <w:tab w:val="clear" w:pos="8640"/>
        <w:tab w:val="right" w:pos="10080"/>
      </w:tabs>
      <w:rPr>
        <w:noProof/>
        <w:sz w:val="20"/>
        <w:szCs w:val="16"/>
      </w:rPr>
    </w:pPr>
    <w:r w:rsidRPr="00276A0E">
      <w:rPr>
        <w:sz w:val="20"/>
        <w:szCs w:val="16"/>
      </w:rPr>
      <w:t xml:space="preserve">SacRT </w:t>
    </w:r>
    <w:r w:rsidR="0025762C">
      <w:rPr>
        <w:sz w:val="20"/>
        <w:szCs w:val="16"/>
      </w:rPr>
      <w:t>Overall</w:t>
    </w:r>
    <w:r w:rsidRPr="00276A0E">
      <w:rPr>
        <w:sz w:val="20"/>
        <w:szCs w:val="16"/>
      </w:rPr>
      <w:t xml:space="preserve"> DBE Goal and Methodology for FFY 202</w:t>
    </w:r>
    <w:r w:rsidR="00250BB6">
      <w:rPr>
        <w:sz w:val="20"/>
        <w:szCs w:val="16"/>
      </w:rPr>
      <w:t>4</w:t>
    </w:r>
    <w:r w:rsidRPr="00276A0E">
      <w:rPr>
        <w:sz w:val="20"/>
        <w:szCs w:val="16"/>
      </w:rPr>
      <w:t>-202</w:t>
    </w:r>
    <w:r w:rsidR="00250BB6">
      <w:rPr>
        <w:sz w:val="20"/>
        <w:szCs w:val="16"/>
      </w:rPr>
      <w:t>6</w:t>
    </w:r>
    <w:r w:rsidRPr="00276A0E">
      <w:rPr>
        <w:sz w:val="20"/>
        <w:szCs w:val="16"/>
      </w:rPr>
      <w:tab/>
    </w:r>
    <w:r w:rsidRPr="00276A0E" w:rsidR="009F2E26">
      <w:rPr>
        <w:sz w:val="20"/>
        <w:szCs w:val="16"/>
      </w:rPr>
      <w:fldChar w:fldCharType="begin"/>
    </w:r>
    <w:r w:rsidRPr="00276A0E" w:rsidR="009F2E26">
      <w:rPr>
        <w:sz w:val="20"/>
        <w:szCs w:val="16"/>
      </w:rPr>
      <w:instrText xml:space="preserve"> PAGE   \* MERGEFORMAT </w:instrText>
    </w:r>
    <w:r w:rsidRPr="00276A0E" w:rsidR="009F2E26">
      <w:rPr>
        <w:sz w:val="20"/>
        <w:szCs w:val="16"/>
      </w:rPr>
      <w:fldChar w:fldCharType="separate"/>
    </w:r>
    <w:r w:rsidR="00C00994">
      <w:rPr>
        <w:noProof/>
        <w:sz w:val="20"/>
        <w:szCs w:val="16"/>
      </w:rPr>
      <w:t>13</w:t>
    </w:r>
    <w:r w:rsidRPr="00276A0E" w:rsidR="009F2E26">
      <w:rPr>
        <w:noProof/>
        <w:sz w:val="20"/>
        <w:szCs w:val="16"/>
      </w:rPr>
      <w:fldChar w:fldCharType="end"/>
    </w:r>
  </w:p>
  <w:p w:rsidRPr="00B270DF" w:rsidR="00083600" w:rsidP="00276A0E" w:rsidRDefault="00083600" w14:paraId="3BC4DB72" w14:textId="7CCCF4E9">
    <w:pPr>
      <w:pStyle w:val="Footer"/>
      <w:tabs>
        <w:tab w:val="clear" w:pos="8640"/>
        <w:tab w:val="right" w:pos="10080"/>
      </w:tabs>
      <w:rPr>
        <w:i/>
        <w:iCs/>
        <w:sz w:val="16"/>
        <w:szCs w:val="12"/>
      </w:rPr>
    </w:pPr>
    <w:r w:rsidRPr="00B270DF">
      <w:rPr>
        <w:i/>
        <w:iCs/>
        <w:noProof/>
        <w:sz w:val="16"/>
        <w:szCs w:val="12"/>
      </w:rPr>
      <w:t>REV 2023-06-19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22C8B" w:rsidRDefault="00A22C8B" w14:paraId="0AD468FD" w14:textId="77777777">
      <w:r>
        <w:separator/>
      </w:r>
    </w:p>
  </w:footnote>
  <w:footnote w:type="continuationSeparator" w:id="0">
    <w:p w:rsidR="00A22C8B" w:rsidRDefault="00A22C8B" w14:paraId="68EA3DA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2782" w:rsidRDefault="003672C8" w14:paraId="4AC02531" w14:textId="3A26098E">
    <w:pPr>
      <w:pStyle w:val="Header"/>
    </w:pPr>
    <w:r>
      <w:rPr>
        <w:noProof/>
      </w:rPr>
      <w:pict w14:anchorId="491EB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10" style="position:absolute;margin-left:0;margin-top:0;width:507.6pt;height:203pt;rotation:315;z-index:-251655168;mso-position-horizontal:center;mso-position-horizontal-relative:margin;mso-position-vertical:center;mso-position-vertical-relative:margin" o:spid="_x0000_s1031" o:allowincell="f" fillcolor="silver" stroked="f" type="#_x0000_t136">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F2E26" w:rsidP="009D0682" w:rsidRDefault="003672C8" w14:paraId="55AC8461" w14:textId="7F8CEC65">
    <w:pPr>
      <w:pStyle w:val="Header"/>
      <w:tabs>
        <w:tab w:val="clear" w:pos="4320"/>
        <w:tab w:val="clear" w:pos="8640"/>
        <w:tab w:val="left" w:pos="1027"/>
      </w:tabs>
    </w:pPr>
    <w:r>
      <w:rPr>
        <w:noProof/>
      </w:rPr>
      <w:pict w14:anchorId="2D71BD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11" style="position:absolute;margin-left:0;margin-top:0;width:507.6pt;height:203pt;rotation:315;z-index:-251653120;mso-position-horizontal:center;mso-position-horizontal-relative:margin;mso-position-vertical:center;mso-position-vertical-relative:margin" o:spid="_x0000_s1032" o:allowincell="f" fillcolor="silver" stroked="f" type="#_x0000_t136">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2782" w:rsidRDefault="003672C8" w14:paraId="3587F89F" w14:textId="396B51A9">
    <w:pPr>
      <w:pStyle w:val="Header"/>
    </w:pPr>
    <w:r>
      <w:rPr>
        <w:noProof/>
      </w:rPr>
      <w:pict w14:anchorId="713FD8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09" style="position:absolute;margin-left:0;margin-top:0;width:507.6pt;height:203pt;rotation:315;z-index:-251657216;mso-position-horizontal:center;mso-position-horizontal-relative:margin;mso-position-vertical:center;mso-position-vertical-relative:margin" o:spid="_x0000_s1030" o:allowincell="f" fillcolor="silver" stroked="f" type="#_x0000_t136">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5C3D"/>
    <w:multiLevelType w:val="hybridMultilevel"/>
    <w:tmpl w:val="AB08BF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7C11E2"/>
    <w:multiLevelType w:val="multilevel"/>
    <w:tmpl w:val="809AF6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7E17F27"/>
    <w:multiLevelType w:val="hybridMultilevel"/>
    <w:tmpl w:val="BBF43798"/>
    <w:lvl w:ilvl="0" w:tplc="C64257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A7783"/>
    <w:multiLevelType w:val="hybridMultilevel"/>
    <w:tmpl w:val="3E9687CA"/>
    <w:lvl w:ilvl="0" w:tplc="F288D404">
      <w:start w:val="1"/>
      <w:numFmt w:val="upp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7766E4"/>
    <w:multiLevelType w:val="hybridMultilevel"/>
    <w:tmpl w:val="2E802B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7743923"/>
    <w:multiLevelType w:val="hybridMultilevel"/>
    <w:tmpl w:val="BBF437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F2399B"/>
    <w:multiLevelType w:val="singleLevel"/>
    <w:tmpl w:val="04090013"/>
    <w:lvl w:ilvl="0">
      <w:start w:val="1"/>
      <w:numFmt w:val="upperRoman"/>
      <w:lvlText w:val="%1."/>
      <w:lvlJc w:val="left"/>
      <w:pPr>
        <w:tabs>
          <w:tab w:val="num" w:pos="720"/>
        </w:tabs>
        <w:ind w:left="720" w:hanging="720"/>
      </w:pPr>
      <w:rPr>
        <w:rFonts w:hint="default"/>
      </w:rPr>
    </w:lvl>
  </w:abstractNum>
  <w:abstractNum w:abstractNumId="7" w15:restartNumberingAfterBreak="0">
    <w:nsid w:val="32744974"/>
    <w:multiLevelType w:val="hybridMultilevel"/>
    <w:tmpl w:val="72C8CC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2C67AB1"/>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9" w15:restartNumberingAfterBreak="0">
    <w:nsid w:val="499816B1"/>
    <w:multiLevelType w:val="hybridMultilevel"/>
    <w:tmpl w:val="79D09F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0C309FD"/>
    <w:multiLevelType w:val="hybridMultilevel"/>
    <w:tmpl w:val="DBAACAD8"/>
    <w:lvl w:ilvl="0" w:tplc="F1FCE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9A20A6"/>
    <w:multiLevelType w:val="hybridMultilevel"/>
    <w:tmpl w:val="294A6F3E"/>
    <w:lvl w:ilvl="0" w:tplc="6FE03E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924E97"/>
    <w:multiLevelType w:val="hybridMultilevel"/>
    <w:tmpl w:val="5B7649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7EC63CBE"/>
    <w:multiLevelType w:val="hybridMultilevel"/>
    <w:tmpl w:val="72C8CC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1070113">
    <w:abstractNumId w:val="6"/>
  </w:num>
  <w:num w:numId="2" w16cid:durableId="1675962144">
    <w:abstractNumId w:val="8"/>
  </w:num>
  <w:num w:numId="3" w16cid:durableId="564726277">
    <w:abstractNumId w:val="3"/>
  </w:num>
  <w:num w:numId="4" w16cid:durableId="165903845">
    <w:abstractNumId w:val="2"/>
  </w:num>
  <w:num w:numId="5" w16cid:durableId="153760853">
    <w:abstractNumId w:val="1"/>
  </w:num>
  <w:num w:numId="6" w16cid:durableId="1425105047">
    <w:abstractNumId w:val="4"/>
  </w:num>
  <w:num w:numId="7" w16cid:durableId="1478885530">
    <w:abstractNumId w:val="11"/>
  </w:num>
  <w:num w:numId="8" w16cid:durableId="1110273123">
    <w:abstractNumId w:val="10"/>
  </w:num>
  <w:num w:numId="9" w16cid:durableId="596254534">
    <w:abstractNumId w:val="5"/>
  </w:num>
  <w:num w:numId="10" w16cid:durableId="168519983">
    <w:abstractNumId w:val="0"/>
  </w:num>
  <w:num w:numId="11" w16cid:durableId="507448601">
    <w:abstractNumId w:val="13"/>
  </w:num>
  <w:num w:numId="12" w16cid:durableId="903486882">
    <w:abstractNumId w:val="7"/>
  </w:num>
  <w:num w:numId="13" w16cid:durableId="1433354539">
    <w:abstractNumId w:val="9"/>
  </w:num>
  <w:num w:numId="14" w16cid:durableId="15817964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2" style="mso-position-horizontal:center;mso-position-horizontal-relative:margin;mso-position-vertical:center;mso-position-vertical-relative:margin" fillcolor="#17365d" stroke="f" o:allowincell="f" o:allowoverlap="f">
      <v:fill color="#17365d"/>
      <v:stroke on="f"/>
    </o:shapedefaults>
    <o:shapelayout v:ext="edit">
      <o:idmap v:ext="edit" data="1"/>
    </o:shapelayout>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CB2"/>
    <w:rsid w:val="00000955"/>
    <w:rsid w:val="000027CE"/>
    <w:rsid w:val="000045FE"/>
    <w:rsid w:val="00005364"/>
    <w:rsid w:val="000068DB"/>
    <w:rsid w:val="00007D90"/>
    <w:rsid w:val="0001006A"/>
    <w:rsid w:val="00012BB3"/>
    <w:rsid w:val="00014544"/>
    <w:rsid w:val="000163B7"/>
    <w:rsid w:val="000166F0"/>
    <w:rsid w:val="000176DB"/>
    <w:rsid w:val="00021CAD"/>
    <w:rsid w:val="00021CB1"/>
    <w:rsid w:val="00022465"/>
    <w:rsid w:val="00022EB7"/>
    <w:rsid w:val="00024C0F"/>
    <w:rsid w:val="0003142E"/>
    <w:rsid w:val="000327F1"/>
    <w:rsid w:val="000334F9"/>
    <w:rsid w:val="0003398E"/>
    <w:rsid w:val="00033D78"/>
    <w:rsid w:val="00033FF8"/>
    <w:rsid w:val="00034167"/>
    <w:rsid w:val="00034BCE"/>
    <w:rsid w:val="00041106"/>
    <w:rsid w:val="00041C61"/>
    <w:rsid w:val="00042417"/>
    <w:rsid w:val="00042DBF"/>
    <w:rsid w:val="00043145"/>
    <w:rsid w:val="000431A0"/>
    <w:rsid w:val="00043E79"/>
    <w:rsid w:val="00047BD0"/>
    <w:rsid w:val="0005021D"/>
    <w:rsid w:val="00051C41"/>
    <w:rsid w:val="00052E25"/>
    <w:rsid w:val="0005527D"/>
    <w:rsid w:val="0005618C"/>
    <w:rsid w:val="00056536"/>
    <w:rsid w:val="00057402"/>
    <w:rsid w:val="00061C0C"/>
    <w:rsid w:val="00064FC1"/>
    <w:rsid w:val="0006656A"/>
    <w:rsid w:val="000669C5"/>
    <w:rsid w:val="000678FC"/>
    <w:rsid w:val="00067AF1"/>
    <w:rsid w:val="00070399"/>
    <w:rsid w:val="00072F1D"/>
    <w:rsid w:val="00075332"/>
    <w:rsid w:val="00076767"/>
    <w:rsid w:val="00077A34"/>
    <w:rsid w:val="00080789"/>
    <w:rsid w:val="0008196F"/>
    <w:rsid w:val="00083600"/>
    <w:rsid w:val="0008574C"/>
    <w:rsid w:val="00086870"/>
    <w:rsid w:val="0008694E"/>
    <w:rsid w:val="000875A3"/>
    <w:rsid w:val="00087B14"/>
    <w:rsid w:val="0009103B"/>
    <w:rsid w:val="000913BC"/>
    <w:rsid w:val="00093426"/>
    <w:rsid w:val="00094130"/>
    <w:rsid w:val="00094837"/>
    <w:rsid w:val="000A1256"/>
    <w:rsid w:val="000A336B"/>
    <w:rsid w:val="000A5182"/>
    <w:rsid w:val="000A74FD"/>
    <w:rsid w:val="000B1C39"/>
    <w:rsid w:val="000B1D80"/>
    <w:rsid w:val="000B4C93"/>
    <w:rsid w:val="000B55AB"/>
    <w:rsid w:val="000C11AB"/>
    <w:rsid w:val="000C394C"/>
    <w:rsid w:val="000C4195"/>
    <w:rsid w:val="000C60ED"/>
    <w:rsid w:val="000C725B"/>
    <w:rsid w:val="000D08CF"/>
    <w:rsid w:val="000D1996"/>
    <w:rsid w:val="000D1BBB"/>
    <w:rsid w:val="000D2E89"/>
    <w:rsid w:val="000D5F4F"/>
    <w:rsid w:val="000D666C"/>
    <w:rsid w:val="000E0D31"/>
    <w:rsid w:val="000E3E7F"/>
    <w:rsid w:val="000F20CC"/>
    <w:rsid w:val="000F36F0"/>
    <w:rsid w:val="000F7F13"/>
    <w:rsid w:val="001003D1"/>
    <w:rsid w:val="00101167"/>
    <w:rsid w:val="0010185C"/>
    <w:rsid w:val="00102711"/>
    <w:rsid w:val="0010327F"/>
    <w:rsid w:val="00104904"/>
    <w:rsid w:val="00104B92"/>
    <w:rsid w:val="00106D59"/>
    <w:rsid w:val="00107530"/>
    <w:rsid w:val="00107789"/>
    <w:rsid w:val="001139F5"/>
    <w:rsid w:val="00117581"/>
    <w:rsid w:val="00121B63"/>
    <w:rsid w:val="00124D69"/>
    <w:rsid w:val="00124EA1"/>
    <w:rsid w:val="00127395"/>
    <w:rsid w:val="00131CFA"/>
    <w:rsid w:val="00132AE9"/>
    <w:rsid w:val="001348BD"/>
    <w:rsid w:val="0014025B"/>
    <w:rsid w:val="00140337"/>
    <w:rsid w:val="00140AC5"/>
    <w:rsid w:val="00141789"/>
    <w:rsid w:val="00143A2C"/>
    <w:rsid w:val="00143C4D"/>
    <w:rsid w:val="00145277"/>
    <w:rsid w:val="00151A14"/>
    <w:rsid w:val="001556C9"/>
    <w:rsid w:val="00157DE6"/>
    <w:rsid w:val="0016339A"/>
    <w:rsid w:val="00164514"/>
    <w:rsid w:val="00165429"/>
    <w:rsid w:val="0016713E"/>
    <w:rsid w:val="00172D84"/>
    <w:rsid w:val="00173764"/>
    <w:rsid w:val="00174820"/>
    <w:rsid w:val="00181716"/>
    <w:rsid w:val="001849CE"/>
    <w:rsid w:val="00185EFE"/>
    <w:rsid w:val="001968D1"/>
    <w:rsid w:val="001A131F"/>
    <w:rsid w:val="001A1465"/>
    <w:rsid w:val="001A37A9"/>
    <w:rsid w:val="001A6CD8"/>
    <w:rsid w:val="001A7639"/>
    <w:rsid w:val="001B0387"/>
    <w:rsid w:val="001B190B"/>
    <w:rsid w:val="001B37BE"/>
    <w:rsid w:val="001B44C9"/>
    <w:rsid w:val="001B58EE"/>
    <w:rsid w:val="001B7B44"/>
    <w:rsid w:val="001C2728"/>
    <w:rsid w:val="001C592C"/>
    <w:rsid w:val="001C6B97"/>
    <w:rsid w:val="001C7C8C"/>
    <w:rsid w:val="001D0344"/>
    <w:rsid w:val="001D1E2F"/>
    <w:rsid w:val="001D22BB"/>
    <w:rsid w:val="001D3C31"/>
    <w:rsid w:val="001D41C6"/>
    <w:rsid w:val="001D6287"/>
    <w:rsid w:val="001D6AA4"/>
    <w:rsid w:val="001D75CC"/>
    <w:rsid w:val="001D75FD"/>
    <w:rsid w:val="001E1286"/>
    <w:rsid w:val="001E3CD4"/>
    <w:rsid w:val="001E3CF5"/>
    <w:rsid w:val="001F310F"/>
    <w:rsid w:val="001F48D0"/>
    <w:rsid w:val="001F4B4D"/>
    <w:rsid w:val="001F4B6A"/>
    <w:rsid w:val="001F776D"/>
    <w:rsid w:val="00200CBA"/>
    <w:rsid w:val="002025A7"/>
    <w:rsid w:val="002056EA"/>
    <w:rsid w:val="002061C9"/>
    <w:rsid w:val="00207EF6"/>
    <w:rsid w:val="002142C0"/>
    <w:rsid w:val="002165E4"/>
    <w:rsid w:val="0021692D"/>
    <w:rsid w:val="00217383"/>
    <w:rsid w:val="002209F1"/>
    <w:rsid w:val="00221A12"/>
    <w:rsid w:val="00223A0E"/>
    <w:rsid w:val="00225039"/>
    <w:rsid w:val="00227002"/>
    <w:rsid w:val="00227686"/>
    <w:rsid w:val="002301B5"/>
    <w:rsid w:val="0023054C"/>
    <w:rsid w:val="002307FE"/>
    <w:rsid w:val="002312A5"/>
    <w:rsid w:val="002316F5"/>
    <w:rsid w:val="00231E80"/>
    <w:rsid w:val="00233EBB"/>
    <w:rsid w:val="00236E74"/>
    <w:rsid w:val="00241BB7"/>
    <w:rsid w:val="002420D4"/>
    <w:rsid w:val="002437EF"/>
    <w:rsid w:val="00243EE3"/>
    <w:rsid w:val="00246091"/>
    <w:rsid w:val="00250B7A"/>
    <w:rsid w:val="00250BB6"/>
    <w:rsid w:val="00252DCE"/>
    <w:rsid w:val="00255110"/>
    <w:rsid w:val="0025762C"/>
    <w:rsid w:val="002578CC"/>
    <w:rsid w:val="00257EE3"/>
    <w:rsid w:val="00261082"/>
    <w:rsid w:val="00264A6F"/>
    <w:rsid w:val="00266074"/>
    <w:rsid w:val="002673AB"/>
    <w:rsid w:val="0026782A"/>
    <w:rsid w:val="00270398"/>
    <w:rsid w:val="002758CD"/>
    <w:rsid w:val="00275A01"/>
    <w:rsid w:val="00276A0E"/>
    <w:rsid w:val="00277805"/>
    <w:rsid w:val="00277F93"/>
    <w:rsid w:val="002810CC"/>
    <w:rsid w:val="002815FE"/>
    <w:rsid w:val="002823FF"/>
    <w:rsid w:val="00282609"/>
    <w:rsid w:val="0028578C"/>
    <w:rsid w:val="00286FF8"/>
    <w:rsid w:val="00290FCE"/>
    <w:rsid w:val="0029159C"/>
    <w:rsid w:val="002932BF"/>
    <w:rsid w:val="00294488"/>
    <w:rsid w:val="00295EE8"/>
    <w:rsid w:val="002A03A7"/>
    <w:rsid w:val="002A38B3"/>
    <w:rsid w:val="002A5492"/>
    <w:rsid w:val="002A7322"/>
    <w:rsid w:val="002A75FB"/>
    <w:rsid w:val="002B0364"/>
    <w:rsid w:val="002B2A96"/>
    <w:rsid w:val="002B4722"/>
    <w:rsid w:val="002B7C3E"/>
    <w:rsid w:val="002C6757"/>
    <w:rsid w:val="002C71AA"/>
    <w:rsid w:val="002D658E"/>
    <w:rsid w:val="002D7338"/>
    <w:rsid w:val="002E0CE6"/>
    <w:rsid w:val="002E1820"/>
    <w:rsid w:val="002E6C94"/>
    <w:rsid w:val="002E729A"/>
    <w:rsid w:val="002E73D0"/>
    <w:rsid w:val="002F0046"/>
    <w:rsid w:val="002F0DF8"/>
    <w:rsid w:val="002F2068"/>
    <w:rsid w:val="00301201"/>
    <w:rsid w:val="00301E53"/>
    <w:rsid w:val="00304E74"/>
    <w:rsid w:val="00307AD6"/>
    <w:rsid w:val="00311842"/>
    <w:rsid w:val="00317392"/>
    <w:rsid w:val="0032427F"/>
    <w:rsid w:val="0032532B"/>
    <w:rsid w:val="00325DF2"/>
    <w:rsid w:val="00325F37"/>
    <w:rsid w:val="003262E7"/>
    <w:rsid w:val="00326992"/>
    <w:rsid w:val="0033050E"/>
    <w:rsid w:val="003307A8"/>
    <w:rsid w:val="0033197C"/>
    <w:rsid w:val="0033260D"/>
    <w:rsid w:val="0033451E"/>
    <w:rsid w:val="003376B4"/>
    <w:rsid w:val="00343C0C"/>
    <w:rsid w:val="00343F8A"/>
    <w:rsid w:val="00345BE7"/>
    <w:rsid w:val="00346D31"/>
    <w:rsid w:val="003506E2"/>
    <w:rsid w:val="00354A2E"/>
    <w:rsid w:val="00354F9A"/>
    <w:rsid w:val="0035597E"/>
    <w:rsid w:val="00360931"/>
    <w:rsid w:val="003634FB"/>
    <w:rsid w:val="0036547A"/>
    <w:rsid w:val="003672C8"/>
    <w:rsid w:val="003679A4"/>
    <w:rsid w:val="00370289"/>
    <w:rsid w:val="003711FB"/>
    <w:rsid w:val="003716F4"/>
    <w:rsid w:val="00372581"/>
    <w:rsid w:val="00373DFA"/>
    <w:rsid w:val="0037415C"/>
    <w:rsid w:val="00374741"/>
    <w:rsid w:val="00375588"/>
    <w:rsid w:val="00377F92"/>
    <w:rsid w:val="0038343B"/>
    <w:rsid w:val="00384C46"/>
    <w:rsid w:val="00387078"/>
    <w:rsid w:val="003949C7"/>
    <w:rsid w:val="00394E8F"/>
    <w:rsid w:val="00395B82"/>
    <w:rsid w:val="003A3E31"/>
    <w:rsid w:val="003A77BF"/>
    <w:rsid w:val="003B0247"/>
    <w:rsid w:val="003B0DD5"/>
    <w:rsid w:val="003B2782"/>
    <w:rsid w:val="003B338A"/>
    <w:rsid w:val="003B40C1"/>
    <w:rsid w:val="003B4637"/>
    <w:rsid w:val="003B593C"/>
    <w:rsid w:val="003B725A"/>
    <w:rsid w:val="003C155E"/>
    <w:rsid w:val="003C26B9"/>
    <w:rsid w:val="003C29ED"/>
    <w:rsid w:val="003C36CF"/>
    <w:rsid w:val="003C57A2"/>
    <w:rsid w:val="003C58F5"/>
    <w:rsid w:val="003C6337"/>
    <w:rsid w:val="003C7FA4"/>
    <w:rsid w:val="003D1A93"/>
    <w:rsid w:val="003D2D77"/>
    <w:rsid w:val="003E1557"/>
    <w:rsid w:val="003E3F3A"/>
    <w:rsid w:val="003E4144"/>
    <w:rsid w:val="003E4948"/>
    <w:rsid w:val="003E71C1"/>
    <w:rsid w:val="003F1F05"/>
    <w:rsid w:val="003F2531"/>
    <w:rsid w:val="003F3050"/>
    <w:rsid w:val="003F3C51"/>
    <w:rsid w:val="003F6881"/>
    <w:rsid w:val="003F69C4"/>
    <w:rsid w:val="00401B0B"/>
    <w:rsid w:val="00402AFB"/>
    <w:rsid w:val="00403559"/>
    <w:rsid w:val="0040372E"/>
    <w:rsid w:val="00403B7C"/>
    <w:rsid w:val="00405223"/>
    <w:rsid w:val="0040700D"/>
    <w:rsid w:val="0040779C"/>
    <w:rsid w:val="0041134C"/>
    <w:rsid w:val="0041246C"/>
    <w:rsid w:val="004144DD"/>
    <w:rsid w:val="00415069"/>
    <w:rsid w:val="004155B3"/>
    <w:rsid w:val="00416E96"/>
    <w:rsid w:val="004170BA"/>
    <w:rsid w:val="00417C2F"/>
    <w:rsid w:val="0042410F"/>
    <w:rsid w:val="00427379"/>
    <w:rsid w:val="004316E1"/>
    <w:rsid w:val="00431FED"/>
    <w:rsid w:val="00432854"/>
    <w:rsid w:val="004331E9"/>
    <w:rsid w:val="00434495"/>
    <w:rsid w:val="0043797A"/>
    <w:rsid w:val="00437CBD"/>
    <w:rsid w:val="0044338B"/>
    <w:rsid w:val="0044555F"/>
    <w:rsid w:val="00445CC2"/>
    <w:rsid w:val="00445D2B"/>
    <w:rsid w:val="00450A29"/>
    <w:rsid w:val="00450CE2"/>
    <w:rsid w:val="00452290"/>
    <w:rsid w:val="004524E8"/>
    <w:rsid w:val="004526BE"/>
    <w:rsid w:val="00455936"/>
    <w:rsid w:val="004607E1"/>
    <w:rsid w:val="00462D16"/>
    <w:rsid w:val="00470449"/>
    <w:rsid w:val="00470FD9"/>
    <w:rsid w:val="00472387"/>
    <w:rsid w:val="00472B13"/>
    <w:rsid w:val="00473B15"/>
    <w:rsid w:val="00473B48"/>
    <w:rsid w:val="004801C5"/>
    <w:rsid w:val="004842BA"/>
    <w:rsid w:val="00486A5F"/>
    <w:rsid w:val="0049041B"/>
    <w:rsid w:val="00491924"/>
    <w:rsid w:val="00493720"/>
    <w:rsid w:val="004940E4"/>
    <w:rsid w:val="00495F44"/>
    <w:rsid w:val="004A10DE"/>
    <w:rsid w:val="004A1B0E"/>
    <w:rsid w:val="004A2C01"/>
    <w:rsid w:val="004A3BBB"/>
    <w:rsid w:val="004A4305"/>
    <w:rsid w:val="004A45D7"/>
    <w:rsid w:val="004A4BAE"/>
    <w:rsid w:val="004A75A9"/>
    <w:rsid w:val="004B1E45"/>
    <w:rsid w:val="004B4603"/>
    <w:rsid w:val="004B59BE"/>
    <w:rsid w:val="004B6F69"/>
    <w:rsid w:val="004C15A3"/>
    <w:rsid w:val="004C4CB2"/>
    <w:rsid w:val="004C4DC4"/>
    <w:rsid w:val="004D11F1"/>
    <w:rsid w:val="004D13F4"/>
    <w:rsid w:val="004D1529"/>
    <w:rsid w:val="004E0641"/>
    <w:rsid w:val="004E34FA"/>
    <w:rsid w:val="004E43E3"/>
    <w:rsid w:val="004E5189"/>
    <w:rsid w:val="004E68D3"/>
    <w:rsid w:val="004E6970"/>
    <w:rsid w:val="004F0C28"/>
    <w:rsid w:val="004F1700"/>
    <w:rsid w:val="004F3AE8"/>
    <w:rsid w:val="004F3EC2"/>
    <w:rsid w:val="004F4550"/>
    <w:rsid w:val="004F5561"/>
    <w:rsid w:val="004F5A79"/>
    <w:rsid w:val="00501141"/>
    <w:rsid w:val="00503CC4"/>
    <w:rsid w:val="005064A1"/>
    <w:rsid w:val="005106D8"/>
    <w:rsid w:val="00511EE8"/>
    <w:rsid w:val="00512582"/>
    <w:rsid w:val="00513280"/>
    <w:rsid w:val="00513475"/>
    <w:rsid w:val="00515BA3"/>
    <w:rsid w:val="00516608"/>
    <w:rsid w:val="00516AB0"/>
    <w:rsid w:val="00516F99"/>
    <w:rsid w:val="00521163"/>
    <w:rsid w:val="00522D35"/>
    <w:rsid w:val="0052615D"/>
    <w:rsid w:val="00526D2D"/>
    <w:rsid w:val="005301CC"/>
    <w:rsid w:val="00532263"/>
    <w:rsid w:val="005337CD"/>
    <w:rsid w:val="00533B73"/>
    <w:rsid w:val="00535847"/>
    <w:rsid w:val="00537C6B"/>
    <w:rsid w:val="00540A8B"/>
    <w:rsid w:val="0054196A"/>
    <w:rsid w:val="00547235"/>
    <w:rsid w:val="005524D5"/>
    <w:rsid w:val="00560AAA"/>
    <w:rsid w:val="00562A5E"/>
    <w:rsid w:val="005635CF"/>
    <w:rsid w:val="00563D94"/>
    <w:rsid w:val="00571D28"/>
    <w:rsid w:val="00572C93"/>
    <w:rsid w:val="00573FC3"/>
    <w:rsid w:val="00575D42"/>
    <w:rsid w:val="005806AC"/>
    <w:rsid w:val="00586721"/>
    <w:rsid w:val="00586EDD"/>
    <w:rsid w:val="005902FF"/>
    <w:rsid w:val="00590585"/>
    <w:rsid w:val="005919E7"/>
    <w:rsid w:val="00591D72"/>
    <w:rsid w:val="00593DDC"/>
    <w:rsid w:val="00596ABC"/>
    <w:rsid w:val="005973A2"/>
    <w:rsid w:val="00597E4A"/>
    <w:rsid w:val="005A0F11"/>
    <w:rsid w:val="005A2177"/>
    <w:rsid w:val="005A40E4"/>
    <w:rsid w:val="005A4625"/>
    <w:rsid w:val="005B04A4"/>
    <w:rsid w:val="005B7112"/>
    <w:rsid w:val="005C1DCC"/>
    <w:rsid w:val="005C2A23"/>
    <w:rsid w:val="005C5E5F"/>
    <w:rsid w:val="005C6067"/>
    <w:rsid w:val="005C65A7"/>
    <w:rsid w:val="005C6FB3"/>
    <w:rsid w:val="005D1829"/>
    <w:rsid w:val="005D350E"/>
    <w:rsid w:val="005D36EA"/>
    <w:rsid w:val="005D6569"/>
    <w:rsid w:val="005D66C2"/>
    <w:rsid w:val="005D7DC7"/>
    <w:rsid w:val="005E10D6"/>
    <w:rsid w:val="005E46C5"/>
    <w:rsid w:val="005E5D23"/>
    <w:rsid w:val="005E6390"/>
    <w:rsid w:val="005E683C"/>
    <w:rsid w:val="005E754F"/>
    <w:rsid w:val="005E7A1F"/>
    <w:rsid w:val="005F0B0E"/>
    <w:rsid w:val="005F48A6"/>
    <w:rsid w:val="005F6C1A"/>
    <w:rsid w:val="0060019E"/>
    <w:rsid w:val="00600A5A"/>
    <w:rsid w:val="006048E9"/>
    <w:rsid w:val="00605438"/>
    <w:rsid w:val="00605B76"/>
    <w:rsid w:val="00605C87"/>
    <w:rsid w:val="006121DA"/>
    <w:rsid w:val="0061479C"/>
    <w:rsid w:val="00614D0B"/>
    <w:rsid w:val="00617521"/>
    <w:rsid w:val="00630A59"/>
    <w:rsid w:val="00631C70"/>
    <w:rsid w:val="00631D75"/>
    <w:rsid w:val="00634A43"/>
    <w:rsid w:val="00634FBD"/>
    <w:rsid w:val="006370DB"/>
    <w:rsid w:val="00637A07"/>
    <w:rsid w:val="00646A0A"/>
    <w:rsid w:val="00646E83"/>
    <w:rsid w:val="006513B5"/>
    <w:rsid w:val="00651C3C"/>
    <w:rsid w:val="006529C5"/>
    <w:rsid w:val="00655457"/>
    <w:rsid w:val="00655CA5"/>
    <w:rsid w:val="006603CB"/>
    <w:rsid w:val="00662A50"/>
    <w:rsid w:val="00665A02"/>
    <w:rsid w:val="0067505D"/>
    <w:rsid w:val="0067722D"/>
    <w:rsid w:val="00680036"/>
    <w:rsid w:val="00680910"/>
    <w:rsid w:val="00684D0E"/>
    <w:rsid w:val="00685770"/>
    <w:rsid w:val="006860B3"/>
    <w:rsid w:val="0068774D"/>
    <w:rsid w:val="00690057"/>
    <w:rsid w:val="00690405"/>
    <w:rsid w:val="0069062E"/>
    <w:rsid w:val="006913B0"/>
    <w:rsid w:val="006970ED"/>
    <w:rsid w:val="00697C82"/>
    <w:rsid w:val="006A00D9"/>
    <w:rsid w:val="006A05B8"/>
    <w:rsid w:val="006A1929"/>
    <w:rsid w:val="006A3C01"/>
    <w:rsid w:val="006A6069"/>
    <w:rsid w:val="006B1819"/>
    <w:rsid w:val="006B47F3"/>
    <w:rsid w:val="006B5846"/>
    <w:rsid w:val="006B6080"/>
    <w:rsid w:val="006C0408"/>
    <w:rsid w:val="006C0839"/>
    <w:rsid w:val="006C3F63"/>
    <w:rsid w:val="006C4680"/>
    <w:rsid w:val="006C6B2D"/>
    <w:rsid w:val="006D44B6"/>
    <w:rsid w:val="006D78A0"/>
    <w:rsid w:val="006E3237"/>
    <w:rsid w:val="006E376B"/>
    <w:rsid w:val="006E3AA5"/>
    <w:rsid w:val="006E48C0"/>
    <w:rsid w:val="006F02D3"/>
    <w:rsid w:val="006F4662"/>
    <w:rsid w:val="006F49B0"/>
    <w:rsid w:val="006F5691"/>
    <w:rsid w:val="00701650"/>
    <w:rsid w:val="00705356"/>
    <w:rsid w:val="00710D63"/>
    <w:rsid w:val="00713C44"/>
    <w:rsid w:val="00713CA5"/>
    <w:rsid w:val="00713EFB"/>
    <w:rsid w:val="0071456E"/>
    <w:rsid w:val="00720628"/>
    <w:rsid w:val="007207BD"/>
    <w:rsid w:val="00721AF3"/>
    <w:rsid w:val="00722D2B"/>
    <w:rsid w:val="00723D35"/>
    <w:rsid w:val="007245FE"/>
    <w:rsid w:val="00725E5C"/>
    <w:rsid w:val="007278C3"/>
    <w:rsid w:val="00730FBE"/>
    <w:rsid w:val="00732988"/>
    <w:rsid w:val="00734D3A"/>
    <w:rsid w:val="00735243"/>
    <w:rsid w:val="00736126"/>
    <w:rsid w:val="00736D0D"/>
    <w:rsid w:val="00737D90"/>
    <w:rsid w:val="00741089"/>
    <w:rsid w:val="0074170E"/>
    <w:rsid w:val="007460CB"/>
    <w:rsid w:val="00746745"/>
    <w:rsid w:val="00747334"/>
    <w:rsid w:val="0075052B"/>
    <w:rsid w:val="00754942"/>
    <w:rsid w:val="0075577A"/>
    <w:rsid w:val="00760CFA"/>
    <w:rsid w:val="00766C8B"/>
    <w:rsid w:val="007741CA"/>
    <w:rsid w:val="007748A3"/>
    <w:rsid w:val="00775143"/>
    <w:rsid w:val="00777B03"/>
    <w:rsid w:val="00777CCE"/>
    <w:rsid w:val="00783877"/>
    <w:rsid w:val="00784117"/>
    <w:rsid w:val="00786C55"/>
    <w:rsid w:val="00792B53"/>
    <w:rsid w:val="007A02BF"/>
    <w:rsid w:val="007A0B29"/>
    <w:rsid w:val="007A1CB2"/>
    <w:rsid w:val="007A5B28"/>
    <w:rsid w:val="007A6063"/>
    <w:rsid w:val="007B15CC"/>
    <w:rsid w:val="007B27D1"/>
    <w:rsid w:val="007B35DC"/>
    <w:rsid w:val="007B47EE"/>
    <w:rsid w:val="007B53B8"/>
    <w:rsid w:val="007C0B92"/>
    <w:rsid w:val="007C1FE9"/>
    <w:rsid w:val="007C5A17"/>
    <w:rsid w:val="007D1FF9"/>
    <w:rsid w:val="007D3436"/>
    <w:rsid w:val="007D3452"/>
    <w:rsid w:val="007D4B57"/>
    <w:rsid w:val="007D6738"/>
    <w:rsid w:val="007D69C0"/>
    <w:rsid w:val="007D74E0"/>
    <w:rsid w:val="007E00AE"/>
    <w:rsid w:val="007E025F"/>
    <w:rsid w:val="007E16D0"/>
    <w:rsid w:val="007E4314"/>
    <w:rsid w:val="007E4602"/>
    <w:rsid w:val="007E69AE"/>
    <w:rsid w:val="007E7BCB"/>
    <w:rsid w:val="007F335A"/>
    <w:rsid w:val="007F63E6"/>
    <w:rsid w:val="00801D13"/>
    <w:rsid w:val="00801E8B"/>
    <w:rsid w:val="00804682"/>
    <w:rsid w:val="0080508B"/>
    <w:rsid w:val="00806D64"/>
    <w:rsid w:val="00807ECD"/>
    <w:rsid w:val="00810195"/>
    <w:rsid w:val="008103C6"/>
    <w:rsid w:val="008114F2"/>
    <w:rsid w:val="00812D1E"/>
    <w:rsid w:val="0081544A"/>
    <w:rsid w:val="00815DA9"/>
    <w:rsid w:val="00817AB1"/>
    <w:rsid w:val="00821BAD"/>
    <w:rsid w:val="0082356A"/>
    <w:rsid w:val="008239A3"/>
    <w:rsid w:val="008254E0"/>
    <w:rsid w:val="00826EBC"/>
    <w:rsid w:val="008276A5"/>
    <w:rsid w:val="00827B65"/>
    <w:rsid w:val="0083289E"/>
    <w:rsid w:val="00833498"/>
    <w:rsid w:val="008338D1"/>
    <w:rsid w:val="0083455E"/>
    <w:rsid w:val="008356F0"/>
    <w:rsid w:val="008358C6"/>
    <w:rsid w:val="00835D71"/>
    <w:rsid w:val="0083608F"/>
    <w:rsid w:val="008426E1"/>
    <w:rsid w:val="00843AD2"/>
    <w:rsid w:val="008445EA"/>
    <w:rsid w:val="0084489B"/>
    <w:rsid w:val="00844C17"/>
    <w:rsid w:val="0084554A"/>
    <w:rsid w:val="008459EE"/>
    <w:rsid w:val="00847569"/>
    <w:rsid w:val="008512BC"/>
    <w:rsid w:val="0085158B"/>
    <w:rsid w:val="00851AB5"/>
    <w:rsid w:val="00851D6F"/>
    <w:rsid w:val="008539FD"/>
    <w:rsid w:val="00855047"/>
    <w:rsid w:val="00855E31"/>
    <w:rsid w:val="00856046"/>
    <w:rsid w:val="00857253"/>
    <w:rsid w:val="0086024B"/>
    <w:rsid w:val="00861915"/>
    <w:rsid w:val="00861D84"/>
    <w:rsid w:val="00861FD1"/>
    <w:rsid w:val="0086337A"/>
    <w:rsid w:val="00863852"/>
    <w:rsid w:val="008643AF"/>
    <w:rsid w:val="008651B9"/>
    <w:rsid w:val="00866443"/>
    <w:rsid w:val="008667BA"/>
    <w:rsid w:val="0087052B"/>
    <w:rsid w:val="00870E15"/>
    <w:rsid w:val="00871FD3"/>
    <w:rsid w:val="00872B5A"/>
    <w:rsid w:val="00873DF4"/>
    <w:rsid w:val="00873EDD"/>
    <w:rsid w:val="008741BD"/>
    <w:rsid w:val="00874DFA"/>
    <w:rsid w:val="008752B6"/>
    <w:rsid w:val="0087624B"/>
    <w:rsid w:val="0088293E"/>
    <w:rsid w:val="0088328D"/>
    <w:rsid w:val="00883DA2"/>
    <w:rsid w:val="008842C1"/>
    <w:rsid w:val="00890249"/>
    <w:rsid w:val="00891DF6"/>
    <w:rsid w:val="00893006"/>
    <w:rsid w:val="008953AF"/>
    <w:rsid w:val="00896169"/>
    <w:rsid w:val="0089794F"/>
    <w:rsid w:val="008A14A1"/>
    <w:rsid w:val="008A629E"/>
    <w:rsid w:val="008A7642"/>
    <w:rsid w:val="008B00C3"/>
    <w:rsid w:val="008B0801"/>
    <w:rsid w:val="008B092D"/>
    <w:rsid w:val="008B2349"/>
    <w:rsid w:val="008B6024"/>
    <w:rsid w:val="008B67CA"/>
    <w:rsid w:val="008C14BD"/>
    <w:rsid w:val="008C22D2"/>
    <w:rsid w:val="008C2507"/>
    <w:rsid w:val="008C45CD"/>
    <w:rsid w:val="008D3536"/>
    <w:rsid w:val="008D7A07"/>
    <w:rsid w:val="008E1672"/>
    <w:rsid w:val="008E44D7"/>
    <w:rsid w:val="008E4715"/>
    <w:rsid w:val="008E531A"/>
    <w:rsid w:val="008E7FF9"/>
    <w:rsid w:val="008F46D9"/>
    <w:rsid w:val="008F725E"/>
    <w:rsid w:val="0090054F"/>
    <w:rsid w:val="00900EB4"/>
    <w:rsid w:val="00902C01"/>
    <w:rsid w:val="00904455"/>
    <w:rsid w:val="00905612"/>
    <w:rsid w:val="00911876"/>
    <w:rsid w:val="00912C61"/>
    <w:rsid w:val="00913ECD"/>
    <w:rsid w:val="00922C26"/>
    <w:rsid w:val="00925302"/>
    <w:rsid w:val="009273F6"/>
    <w:rsid w:val="00934C37"/>
    <w:rsid w:val="0093549A"/>
    <w:rsid w:val="00935BB8"/>
    <w:rsid w:val="00936B02"/>
    <w:rsid w:val="00937CD9"/>
    <w:rsid w:val="00940A43"/>
    <w:rsid w:val="00944A83"/>
    <w:rsid w:val="00944B5E"/>
    <w:rsid w:val="009462CD"/>
    <w:rsid w:val="009464E5"/>
    <w:rsid w:val="009468BB"/>
    <w:rsid w:val="00947D31"/>
    <w:rsid w:val="0095236A"/>
    <w:rsid w:val="00954B40"/>
    <w:rsid w:val="0095579F"/>
    <w:rsid w:val="009562D3"/>
    <w:rsid w:val="00957D61"/>
    <w:rsid w:val="00961C2B"/>
    <w:rsid w:val="00961C48"/>
    <w:rsid w:val="00961FE9"/>
    <w:rsid w:val="00963D19"/>
    <w:rsid w:val="00964A30"/>
    <w:rsid w:val="0096678F"/>
    <w:rsid w:val="0096740D"/>
    <w:rsid w:val="0097145A"/>
    <w:rsid w:val="00971A87"/>
    <w:rsid w:val="009723B2"/>
    <w:rsid w:val="00974392"/>
    <w:rsid w:val="00976611"/>
    <w:rsid w:val="00986137"/>
    <w:rsid w:val="00986E53"/>
    <w:rsid w:val="009926FC"/>
    <w:rsid w:val="009934F0"/>
    <w:rsid w:val="00996EB0"/>
    <w:rsid w:val="00997B57"/>
    <w:rsid w:val="009A1C41"/>
    <w:rsid w:val="009A288A"/>
    <w:rsid w:val="009A3279"/>
    <w:rsid w:val="009A5AED"/>
    <w:rsid w:val="009B0965"/>
    <w:rsid w:val="009B1388"/>
    <w:rsid w:val="009B3DA4"/>
    <w:rsid w:val="009B6621"/>
    <w:rsid w:val="009B778B"/>
    <w:rsid w:val="009C18F2"/>
    <w:rsid w:val="009C4109"/>
    <w:rsid w:val="009C6D84"/>
    <w:rsid w:val="009D0682"/>
    <w:rsid w:val="009D07CD"/>
    <w:rsid w:val="009D2A86"/>
    <w:rsid w:val="009D2FD7"/>
    <w:rsid w:val="009D31B1"/>
    <w:rsid w:val="009D3FD9"/>
    <w:rsid w:val="009D564C"/>
    <w:rsid w:val="009D6DD4"/>
    <w:rsid w:val="009D75C1"/>
    <w:rsid w:val="009E1BDE"/>
    <w:rsid w:val="009E1CDA"/>
    <w:rsid w:val="009E260B"/>
    <w:rsid w:val="009E29B6"/>
    <w:rsid w:val="009E31C3"/>
    <w:rsid w:val="009E40D6"/>
    <w:rsid w:val="009E516E"/>
    <w:rsid w:val="009E52B2"/>
    <w:rsid w:val="009E5D38"/>
    <w:rsid w:val="009F03FF"/>
    <w:rsid w:val="009F2E26"/>
    <w:rsid w:val="009F3CA0"/>
    <w:rsid w:val="009F4412"/>
    <w:rsid w:val="009F5B38"/>
    <w:rsid w:val="00A0621F"/>
    <w:rsid w:val="00A1012C"/>
    <w:rsid w:val="00A12F18"/>
    <w:rsid w:val="00A1312B"/>
    <w:rsid w:val="00A15CB9"/>
    <w:rsid w:val="00A15FF1"/>
    <w:rsid w:val="00A179D3"/>
    <w:rsid w:val="00A215AD"/>
    <w:rsid w:val="00A22531"/>
    <w:rsid w:val="00A22C8B"/>
    <w:rsid w:val="00A24783"/>
    <w:rsid w:val="00A33BC6"/>
    <w:rsid w:val="00A33E60"/>
    <w:rsid w:val="00A36FE0"/>
    <w:rsid w:val="00A4257D"/>
    <w:rsid w:val="00A42E7D"/>
    <w:rsid w:val="00A469D3"/>
    <w:rsid w:val="00A47255"/>
    <w:rsid w:val="00A5181B"/>
    <w:rsid w:val="00A56DCA"/>
    <w:rsid w:val="00A61D4B"/>
    <w:rsid w:val="00A6255E"/>
    <w:rsid w:val="00A62DDF"/>
    <w:rsid w:val="00A633FC"/>
    <w:rsid w:val="00A66243"/>
    <w:rsid w:val="00A66C51"/>
    <w:rsid w:val="00A679B0"/>
    <w:rsid w:val="00A73588"/>
    <w:rsid w:val="00A73BA3"/>
    <w:rsid w:val="00A75ECA"/>
    <w:rsid w:val="00A771B9"/>
    <w:rsid w:val="00A82AB5"/>
    <w:rsid w:val="00A839B0"/>
    <w:rsid w:val="00A8759E"/>
    <w:rsid w:val="00A9213C"/>
    <w:rsid w:val="00A9260C"/>
    <w:rsid w:val="00AA0EFB"/>
    <w:rsid w:val="00AA190E"/>
    <w:rsid w:val="00AA1EE9"/>
    <w:rsid w:val="00AA29C4"/>
    <w:rsid w:val="00AA3AEF"/>
    <w:rsid w:val="00AA79FB"/>
    <w:rsid w:val="00AA7E10"/>
    <w:rsid w:val="00AB0579"/>
    <w:rsid w:val="00AB1295"/>
    <w:rsid w:val="00AB18D3"/>
    <w:rsid w:val="00AB2778"/>
    <w:rsid w:val="00AB4B99"/>
    <w:rsid w:val="00AB5239"/>
    <w:rsid w:val="00AB5D7B"/>
    <w:rsid w:val="00AB6E3B"/>
    <w:rsid w:val="00AC0565"/>
    <w:rsid w:val="00AC0F34"/>
    <w:rsid w:val="00AC4E33"/>
    <w:rsid w:val="00AC59E4"/>
    <w:rsid w:val="00AC6173"/>
    <w:rsid w:val="00AC6783"/>
    <w:rsid w:val="00AC783D"/>
    <w:rsid w:val="00AD0F5E"/>
    <w:rsid w:val="00AD110F"/>
    <w:rsid w:val="00AD2D30"/>
    <w:rsid w:val="00AD38AE"/>
    <w:rsid w:val="00AD3B08"/>
    <w:rsid w:val="00AD558E"/>
    <w:rsid w:val="00AD65D2"/>
    <w:rsid w:val="00AD6DB0"/>
    <w:rsid w:val="00AD6F28"/>
    <w:rsid w:val="00AE1C95"/>
    <w:rsid w:val="00AE3FA1"/>
    <w:rsid w:val="00AE4723"/>
    <w:rsid w:val="00AE6033"/>
    <w:rsid w:val="00AE6968"/>
    <w:rsid w:val="00AE764F"/>
    <w:rsid w:val="00AF0F15"/>
    <w:rsid w:val="00AF4743"/>
    <w:rsid w:val="00AF4C56"/>
    <w:rsid w:val="00AF5A16"/>
    <w:rsid w:val="00AF651F"/>
    <w:rsid w:val="00B02C6F"/>
    <w:rsid w:val="00B11C5D"/>
    <w:rsid w:val="00B133F7"/>
    <w:rsid w:val="00B13DAD"/>
    <w:rsid w:val="00B15189"/>
    <w:rsid w:val="00B20FFE"/>
    <w:rsid w:val="00B238BA"/>
    <w:rsid w:val="00B2560B"/>
    <w:rsid w:val="00B2639E"/>
    <w:rsid w:val="00B270DF"/>
    <w:rsid w:val="00B27E0B"/>
    <w:rsid w:val="00B3057A"/>
    <w:rsid w:val="00B31CDB"/>
    <w:rsid w:val="00B42967"/>
    <w:rsid w:val="00B43A16"/>
    <w:rsid w:val="00B4410B"/>
    <w:rsid w:val="00B4556B"/>
    <w:rsid w:val="00B507A7"/>
    <w:rsid w:val="00B525CA"/>
    <w:rsid w:val="00B526C6"/>
    <w:rsid w:val="00B532DE"/>
    <w:rsid w:val="00B54169"/>
    <w:rsid w:val="00B56C29"/>
    <w:rsid w:val="00B61741"/>
    <w:rsid w:val="00B67859"/>
    <w:rsid w:val="00B67A2F"/>
    <w:rsid w:val="00B70988"/>
    <w:rsid w:val="00B718D6"/>
    <w:rsid w:val="00B726D6"/>
    <w:rsid w:val="00B72875"/>
    <w:rsid w:val="00B74854"/>
    <w:rsid w:val="00B75D4E"/>
    <w:rsid w:val="00B76E79"/>
    <w:rsid w:val="00B7784D"/>
    <w:rsid w:val="00B80D76"/>
    <w:rsid w:val="00B83236"/>
    <w:rsid w:val="00B834D8"/>
    <w:rsid w:val="00B84655"/>
    <w:rsid w:val="00B87E34"/>
    <w:rsid w:val="00B90250"/>
    <w:rsid w:val="00B91C5C"/>
    <w:rsid w:val="00B942ED"/>
    <w:rsid w:val="00B94D02"/>
    <w:rsid w:val="00B967F0"/>
    <w:rsid w:val="00BA03E8"/>
    <w:rsid w:val="00BA086A"/>
    <w:rsid w:val="00BA703B"/>
    <w:rsid w:val="00BB0F4F"/>
    <w:rsid w:val="00BB1187"/>
    <w:rsid w:val="00BB21CF"/>
    <w:rsid w:val="00BB47E4"/>
    <w:rsid w:val="00BB51AE"/>
    <w:rsid w:val="00BB5B4B"/>
    <w:rsid w:val="00BB793B"/>
    <w:rsid w:val="00BC1FE2"/>
    <w:rsid w:val="00BD00DE"/>
    <w:rsid w:val="00BD1C30"/>
    <w:rsid w:val="00BD42BC"/>
    <w:rsid w:val="00BD467E"/>
    <w:rsid w:val="00BE0995"/>
    <w:rsid w:val="00BE35C6"/>
    <w:rsid w:val="00BE368E"/>
    <w:rsid w:val="00BF2420"/>
    <w:rsid w:val="00BF28C0"/>
    <w:rsid w:val="00BF2E4B"/>
    <w:rsid w:val="00C00994"/>
    <w:rsid w:val="00C0241C"/>
    <w:rsid w:val="00C06F88"/>
    <w:rsid w:val="00C06FF5"/>
    <w:rsid w:val="00C07259"/>
    <w:rsid w:val="00C1047E"/>
    <w:rsid w:val="00C1271F"/>
    <w:rsid w:val="00C14A73"/>
    <w:rsid w:val="00C15BC1"/>
    <w:rsid w:val="00C24CFC"/>
    <w:rsid w:val="00C26CE3"/>
    <w:rsid w:val="00C27054"/>
    <w:rsid w:val="00C27C54"/>
    <w:rsid w:val="00C3041A"/>
    <w:rsid w:val="00C31ADE"/>
    <w:rsid w:val="00C35C95"/>
    <w:rsid w:val="00C421CC"/>
    <w:rsid w:val="00C44131"/>
    <w:rsid w:val="00C44902"/>
    <w:rsid w:val="00C4513A"/>
    <w:rsid w:val="00C45C33"/>
    <w:rsid w:val="00C47ECA"/>
    <w:rsid w:val="00C5099F"/>
    <w:rsid w:val="00C50F14"/>
    <w:rsid w:val="00C527FF"/>
    <w:rsid w:val="00C57295"/>
    <w:rsid w:val="00C612A6"/>
    <w:rsid w:val="00C63640"/>
    <w:rsid w:val="00C653EF"/>
    <w:rsid w:val="00C67C44"/>
    <w:rsid w:val="00C67D54"/>
    <w:rsid w:val="00C708F4"/>
    <w:rsid w:val="00C72B8A"/>
    <w:rsid w:val="00C74000"/>
    <w:rsid w:val="00C74625"/>
    <w:rsid w:val="00C76E05"/>
    <w:rsid w:val="00C80703"/>
    <w:rsid w:val="00C834FC"/>
    <w:rsid w:val="00C92201"/>
    <w:rsid w:val="00C94E1C"/>
    <w:rsid w:val="00C9674D"/>
    <w:rsid w:val="00CA0506"/>
    <w:rsid w:val="00CA10E4"/>
    <w:rsid w:val="00CA1A5F"/>
    <w:rsid w:val="00CA2525"/>
    <w:rsid w:val="00CA4EC2"/>
    <w:rsid w:val="00CA52CF"/>
    <w:rsid w:val="00CA576C"/>
    <w:rsid w:val="00CB1222"/>
    <w:rsid w:val="00CB16F6"/>
    <w:rsid w:val="00CB6255"/>
    <w:rsid w:val="00CC0572"/>
    <w:rsid w:val="00CC3CF2"/>
    <w:rsid w:val="00CC4FD0"/>
    <w:rsid w:val="00CD1D16"/>
    <w:rsid w:val="00CD4382"/>
    <w:rsid w:val="00CD4CC7"/>
    <w:rsid w:val="00CD6ADE"/>
    <w:rsid w:val="00CE0A30"/>
    <w:rsid w:val="00CE2245"/>
    <w:rsid w:val="00CE3CF7"/>
    <w:rsid w:val="00CE4A2F"/>
    <w:rsid w:val="00CE5218"/>
    <w:rsid w:val="00CE534D"/>
    <w:rsid w:val="00CF25A6"/>
    <w:rsid w:val="00CF4274"/>
    <w:rsid w:val="00CF4E9F"/>
    <w:rsid w:val="00CF503E"/>
    <w:rsid w:val="00CF543F"/>
    <w:rsid w:val="00CF5DEE"/>
    <w:rsid w:val="00D00999"/>
    <w:rsid w:val="00D0300F"/>
    <w:rsid w:val="00D038F9"/>
    <w:rsid w:val="00D03F95"/>
    <w:rsid w:val="00D041C7"/>
    <w:rsid w:val="00D04C04"/>
    <w:rsid w:val="00D04E99"/>
    <w:rsid w:val="00D06D55"/>
    <w:rsid w:val="00D11F0F"/>
    <w:rsid w:val="00D1228A"/>
    <w:rsid w:val="00D125C7"/>
    <w:rsid w:val="00D13119"/>
    <w:rsid w:val="00D2098F"/>
    <w:rsid w:val="00D20B69"/>
    <w:rsid w:val="00D21161"/>
    <w:rsid w:val="00D21517"/>
    <w:rsid w:val="00D23E4C"/>
    <w:rsid w:val="00D26E7B"/>
    <w:rsid w:val="00D27E3B"/>
    <w:rsid w:val="00D3511F"/>
    <w:rsid w:val="00D35909"/>
    <w:rsid w:val="00D362FE"/>
    <w:rsid w:val="00D369D1"/>
    <w:rsid w:val="00D36C4A"/>
    <w:rsid w:val="00D36F6C"/>
    <w:rsid w:val="00D40F24"/>
    <w:rsid w:val="00D4155E"/>
    <w:rsid w:val="00D41E1B"/>
    <w:rsid w:val="00D428D7"/>
    <w:rsid w:val="00D438C2"/>
    <w:rsid w:val="00D43BF4"/>
    <w:rsid w:val="00D4523B"/>
    <w:rsid w:val="00D46636"/>
    <w:rsid w:val="00D47561"/>
    <w:rsid w:val="00D510D2"/>
    <w:rsid w:val="00D520F6"/>
    <w:rsid w:val="00D54673"/>
    <w:rsid w:val="00D5610C"/>
    <w:rsid w:val="00D632B2"/>
    <w:rsid w:val="00D6430D"/>
    <w:rsid w:val="00D6620C"/>
    <w:rsid w:val="00D66B30"/>
    <w:rsid w:val="00D67A47"/>
    <w:rsid w:val="00D740FA"/>
    <w:rsid w:val="00D773EE"/>
    <w:rsid w:val="00D77C25"/>
    <w:rsid w:val="00D8395D"/>
    <w:rsid w:val="00D84423"/>
    <w:rsid w:val="00D84873"/>
    <w:rsid w:val="00D85708"/>
    <w:rsid w:val="00D85721"/>
    <w:rsid w:val="00D91DC1"/>
    <w:rsid w:val="00D938DC"/>
    <w:rsid w:val="00D939F9"/>
    <w:rsid w:val="00D95753"/>
    <w:rsid w:val="00D96073"/>
    <w:rsid w:val="00D9710A"/>
    <w:rsid w:val="00D97B70"/>
    <w:rsid w:val="00DA0C24"/>
    <w:rsid w:val="00DA2319"/>
    <w:rsid w:val="00DA3AF0"/>
    <w:rsid w:val="00DA431A"/>
    <w:rsid w:val="00DA4B6E"/>
    <w:rsid w:val="00DA70E2"/>
    <w:rsid w:val="00DA71DC"/>
    <w:rsid w:val="00DA7276"/>
    <w:rsid w:val="00DB2ED6"/>
    <w:rsid w:val="00DB2FB8"/>
    <w:rsid w:val="00DB32E0"/>
    <w:rsid w:val="00DB4F91"/>
    <w:rsid w:val="00DB64DA"/>
    <w:rsid w:val="00DC0CC0"/>
    <w:rsid w:val="00DC41CE"/>
    <w:rsid w:val="00DC44F0"/>
    <w:rsid w:val="00DC7903"/>
    <w:rsid w:val="00DD0541"/>
    <w:rsid w:val="00DD0858"/>
    <w:rsid w:val="00DD228B"/>
    <w:rsid w:val="00DD395F"/>
    <w:rsid w:val="00DD5366"/>
    <w:rsid w:val="00DD5CF8"/>
    <w:rsid w:val="00DD6C13"/>
    <w:rsid w:val="00DD7C0B"/>
    <w:rsid w:val="00DE0E7A"/>
    <w:rsid w:val="00DE10F5"/>
    <w:rsid w:val="00DE1A6E"/>
    <w:rsid w:val="00DE23D6"/>
    <w:rsid w:val="00DE4C59"/>
    <w:rsid w:val="00DE5EFF"/>
    <w:rsid w:val="00DF002A"/>
    <w:rsid w:val="00DF4212"/>
    <w:rsid w:val="00DF5A9B"/>
    <w:rsid w:val="00DF6223"/>
    <w:rsid w:val="00DF6526"/>
    <w:rsid w:val="00DF74C2"/>
    <w:rsid w:val="00DF7B32"/>
    <w:rsid w:val="00E003B7"/>
    <w:rsid w:val="00E00FD8"/>
    <w:rsid w:val="00E01299"/>
    <w:rsid w:val="00E02BB1"/>
    <w:rsid w:val="00E05DDC"/>
    <w:rsid w:val="00E0610E"/>
    <w:rsid w:val="00E14D14"/>
    <w:rsid w:val="00E16447"/>
    <w:rsid w:val="00E208FF"/>
    <w:rsid w:val="00E21209"/>
    <w:rsid w:val="00E21312"/>
    <w:rsid w:val="00E219A1"/>
    <w:rsid w:val="00E21BF8"/>
    <w:rsid w:val="00E2216B"/>
    <w:rsid w:val="00E221D8"/>
    <w:rsid w:val="00E23D4E"/>
    <w:rsid w:val="00E2425F"/>
    <w:rsid w:val="00E24293"/>
    <w:rsid w:val="00E30412"/>
    <w:rsid w:val="00E32A23"/>
    <w:rsid w:val="00E34215"/>
    <w:rsid w:val="00E346E7"/>
    <w:rsid w:val="00E36531"/>
    <w:rsid w:val="00E40EBD"/>
    <w:rsid w:val="00E42A51"/>
    <w:rsid w:val="00E4422F"/>
    <w:rsid w:val="00E442CB"/>
    <w:rsid w:val="00E44C98"/>
    <w:rsid w:val="00E4657B"/>
    <w:rsid w:val="00E4666D"/>
    <w:rsid w:val="00E46D68"/>
    <w:rsid w:val="00E46E6D"/>
    <w:rsid w:val="00E50FFE"/>
    <w:rsid w:val="00E523A0"/>
    <w:rsid w:val="00E535BA"/>
    <w:rsid w:val="00E547FF"/>
    <w:rsid w:val="00E55B8C"/>
    <w:rsid w:val="00E60438"/>
    <w:rsid w:val="00E608FD"/>
    <w:rsid w:val="00E635AD"/>
    <w:rsid w:val="00E72C30"/>
    <w:rsid w:val="00E75EAA"/>
    <w:rsid w:val="00E80694"/>
    <w:rsid w:val="00E83136"/>
    <w:rsid w:val="00E92845"/>
    <w:rsid w:val="00E96454"/>
    <w:rsid w:val="00E96B74"/>
    <w:rsid w:val="00E972D6"/>
    <w:rsid w:val="00E9774A"/>
    <w:rsid w:val="00EA2452"/>
    <w:rsid w:val="00EA4324"/>
    <w:rsid w:val="00EB10E7"/>
    <w:rsid w:val="00EB3603"/>
    <w:rsid w:val="00EB3FB0"/>
    <w:rsid w:val="00EB6CB6"/>
    <w:rsid w:val="00EC0F02"/>
    <w:rsid w:val="00EC190E"/>
    <w:rsid w:val="00EC318C"/>
    <w:rsid w:val="00EC3D1E"/>
    <w:rsid w:val="00EC43D1"/>
    <w:rsid w:val="00EC4BDC"/>
    <w:rsid w:val="00EC656C"/>
    <w:rsid w:val="00EC6A58"/>
    <w:rsid w:val="00EC7765"/>
    <w:rsid w:val="00ED0318"/>
    <w:rsid w:val="00ED07BB"/>
    <w:rsid w:val="00ED1F5D"/>
    <w:rsid w:val="00ED2AB0"/>
    <w:rsid w:val="00ED4C0A"/>
    <w:rsid w:val="00ED6C2C"/>
    <w:rsid w:val="00ED782C"/>
    <w:rsid w:val="00ED79FF"/>
    <w:rsid w:val="00EE0690"/>
    <w:rsid w:val="00EE16BA"/>
    <w:rsid w:val="00EE3390"/>
    <w:rsid w:val="00EE4914"/>
    <w:rsid w:val="00EE5F7F"/>
    <w:rsid w:val="00EF1545"/>
    <w:rsid w:val="00EF1AB7"/>
    <w:rsid w:val="00EF5E70"/>
    <w:rsid w:val="00EF7791"/>
    <w:rsid w:val="00F00C23"/>
    <w:rsid w:val="00F03A15"/>
    <w:rsid w:val="00F03E06"/>
    <w:rsid w:val="00F0476A"/>
    <w:rsid w:val="00F0627C"/>
    <w:rsid w:val="00F06BA9"/>
    <w:rsid w:val="00F06D11"/>
    <w:rsid w:val="00F10038"/>
    <w:rsid w:val="00F1085E"/>
    <w:rsid w:val="00F11E90"/>
    <w:rsid w:val="00F12EDC"/>
    <w:rsid w:val="00F13491"/>
    <w:rsid w:val="00F13FB1"/>
    <w:rsid w:val="00F23152"/>
    <w:rsid w:val="00F2414B"/>
    <w:rsid w:val="00F24E65"/>
    <w:rsid w:val="00F27743"/>
    <w:rsid w:val="00F302EF"/>
    <w:rsid w:val="00F32268"/>
    <w:rsid w:val="00F3261B"/>
    <w:rsid w:val="00F327DE"/>
    <w:rsid w:val="00F35FA1"/>
    <w:rsid w:val="00F35FD9"/>
    <w:rsid w:val="00F36899"/>
    <w:rsid w:val="00F40A5E"/>
    <w:rsid w:val="00F411FC"/>
    <w:rsid w:val="00F42FDB"/>
    <w:rsid w:val="00F43FB0"/>
    <w:rsid w:val="00F44016"/>
    <w:rsid w:val="00F4412F"/>
    <w:rsid w:val="00F46891"/>
    <w:rsid w:val="00F4781E"/>
    <w:rsid w:val="00F51D83"/>
    <w:rsid w:val="00F5611A"/>
    <w:rsid w:val="00F56F2A"/>
    <w:rsid w:val="00F61187"/>
    <w:rsid w:val="00F61593"/>
    <w:rsid w:val="00F61A5F"/>
    <w:rsid w:val="00F623DA"/>
    <w:rsid w:val="00F62557"/>
    <w:rsid w:val="00F64C89"/>
    <w:rsid w:val="00F71FB9"/>
    <w:rsid w:val="00F73EFC"/>
    <w:rsid w:val="00F742F1"/>
    <w:rsid w:val="00F744A0"/>
    <w:rsid w:val="00F74C99"/>
    <w:rsid w:val="00F76AEB"/>
    <w:rsid w:val="00F77BE3"/>
    <w:rsid w:val="00F84613"/>
    <w:rsid w:val="00F84A00"/>
    <w:rsid w:val="00F85B69"/>
    <w:rsid w:val="00F871C4"/>
    <w:rsid w:val="00F9095D"/>
    <w:rsid w:val="00F9258D"/>
    <w:rsid w:val="00F944ED"/>
    <w:rsid w:val="00F97B9A"/>
    <w:rsid w:val="00F97BC1"/>
    <w:rsid w:val="00FA0A68"/>
    <w:rsid w:val="00FA135B"/>
    <w:rsid w:val="00FA1E35"/>
    <w:rsid w:val="00FA5627"/>
    <w:rsid w:val="00FA5DF9"/>
    <w:rsid w:val="00FA7E9B"/>
    <w:rsid w:val="00FB2680"/>
    <w:rsid w:val="00FB2DB3"/>
    <w:rsid w:val="00FB5259"/>
    <w:rsid w:val="00FB5A58"/>
    <w:rsid w:val="00FB7F92"/>
    <w:rsid w:val="00FC069B"/>
    <w:rsid w:val="00FC2E61"/>
    <w:rsid w:val="00FC4533"/>
    <w:rsid w:val="00FD10CF"/>
    <w:rsid w:val="00FD1CAE"/>
    <w:rsid w:val="00FD3423"/>
    <w:rsid w:val="00FD3D9C"/>
    <w:rsid w:val="00FD3F38"/>
    <w:rsid w:val="00FD687F"/>
    <w:rsid w:val="00FE1EA1"/>
    <w:rsid w:val="00FE56B7"/>
    <w:rsid w:val="00FE57EF"/>
    <w:rsid w:val="00FE5DDE"/>
    <w:rsid w:val="00FE744A"/>
    <w:rsid w:val="00FF0C1C"/>
    <w:rsid w:val="00FF1393"/>
    <w:rsid w:val="00FF4390"/>
    <w:rsid w:val="00FF4C7D"/>
    <w:rsid w:val="00FF6081"/>
    <w:rsid w:val="67C84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style="mso-position-horizontal:center;mso-position-horizontal-relative:margin;mso-position-vertical:center;mso-position-vertical-relative:margin" fillcolor="#17365d" stroke="f" o:allowincell="f" o:allowoverlap="f">
      <v:fill color="#17365d"/>
      <v:stroke on="f"/>
    </o:shapedefaults>
    <o:shapelayout v:ext="edit">
      <o:idmap v:ext="edit" data="2"/>
    </o:shapelayout>
  </w:shapeDefaults>
  <w:decimalSymbol w:val="."/>
  <w:listSeparator w:val=","/>
  <w14:docId w14:val="006C6589"/>
  <w15:chartTrackingRefBased/>
  <w15:docId w15:val="{BB0800AB-47CC-471D-9047-621978764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4B59BE"/>
    <w:pPr>
      <w:widowControl w:val="0"/>
    </w:pPr>
    <w:rPr>
      <w:rFonts w:ascii="Arial" w:hAnsi="Arial"/>
      <w:snapToGrid w:val="0"/>
      <w:sz w:val="24"/>
    </w:rPr>
  </w:style>
  <w:style w:type="paragraph" w:styleId="Heading1">
    <w:name w:val="heading 1"/>
    <w:basedOn w:val="Normal"/>
    <w:next w:val="Normal"/>
    <w:link w:val="Heading1Char"/>
    <w:uiPriority w:val="9"/>
    <w:qFormat/>
    <w:pPr>
      <w:keepNext/>
      <w:widowControl/>
      <w:jc w:val="both"/>
      <w:outlineLvl w:val="0"/>
    </w:pPr>
    <w:rPr>
      <w:u w:val="single"/>
    </w:rPr>
  </w:style>
  <w:style w:type="paragraph" w:styleId="Heading2">
    <w:name w:val="heading 2"/>
    <w:basedOn w:val="Normal"/>
    <w:next w:val="Normal"/>
    <w:link w:val="Heading2Char"/>
    <w:uiPriority w:val="9"/>
    <w:qFormat/>
    <w:pPr>
      <w:keepNext/>
      <w:outlineLvl w:val="1"/>
    </w:pPr>
    <w:rPr>
      <w:u w:val="single"/>
    </w:rPr>
  </w:style>
  <w:style w:type="paragraph" w:styleId="Heading3">
    <w:name w:val="heading 3"/>
    <w:basedOn w:val="Normal"/>
    <w:next w:val="Normal"/>
    <w:link w:val="Heading3Char"/>
    <w:uiPriority w:val="9"/>
    <w:qFormat/>
    <w:pPr>
      <w:keepNext/>
      <w:widowControl/>
      <w:jc w:val="center"/>
      <w:outlineLvl w:val="2"/>
    </w:pPr>
    <w:rPr>
      <w:b/>
    </w:rPr>
  </w:style>
  <w:style w:type="paragraph" w:styleId="Heading4">
    <w:name w:val="heading 4"/>
    <w:basedOn w:val="Normal"/>
    <w:next w:val="Normal"/>
    <w:link w:val="Heading4Char"/>
    <w:uiPriority w:val="9"/>
    <w:qFormat/>
    <w:rsid w:val="00D125C7"/>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rsid w:val="00D1228A"/>
    <w:pPr>
      <w:spacing w:before="240" w:after="60"/>
      <w:outlineLvl w:val="4"/>
    </w:pPr>
    <w:rPr>
      <w:b/>
      <w:bCs/>
      <w:i/>
      <w:iCs/>
      <w:sz w:val="26"/>
      <w:szCs w:val="26"/>
    </w:rPr>
  </w:style>
  <w:style w:type="paragraph" w:styleId="Heading6">
    <w:name w:val="heading 6"/>
    <w:basedOn w:val="Normal"/>
    <w:next w:val="Normal"/>
    <w:link w:val="Heading6Char"/>
    <w:qFormat/>
    <w:rsid w:val="00A5181B"/>
    <w:pPr>
      <w:widowControl/>
      <w:tabs>
        <w:tab w:val="num" w:pos="4320"/>
      </w:tabs>
      <w:spacing w:before="240" w:after="60"/>
      <w:ind w:left="4320" w:hanging="720"/>
      <w:outlineLvl w:val="5"/>
    </w:pPr>
    <w:rPr>
      <w:rFonts w:ascii="Times New Roman" w:hAnsi="Times New Roman"/>
      <w:b/>
      <w:bCs/>
      <w:snapToGrid/>
      <w:sz w:val="22"/>
      <w:szCs w:val="22"/>
    </w:rPr>
  </w:style>
  <w:style w:type="paragraph" w:styleId="Heading7">
    <w:name w:val="heading 7"/>
    <w:basedOn w:val="Normal"/>
    <w:next w:val="Normal"/>
    <w:link w:val="Heading7Char"/>
    <w:uiPriority w:val="9"/>
    <w:semiHidden/>
    <w:unhideWhenUsed/>
    <w:qFormat/>
    <w:rsid w:val="00A5181B"/>
    <w:pPr>
      <w:widowControl/>
      <w:tabs>
        <w:tab w:val="num" w:pos="5040"/>
      </w:tabs>
      <w:spacing w:before="240" w:after="60"/>
      <w:ind w:left="5040" w:hanging="720"/>
      <w:outlineLvl w:val="6"/>
    </w:pPr>
    <w:rPr>
      <w:rFonts w:ascii="Calibri" w:hAnsi="Calibri"/>
      <w:snapToGrid/>
      <w:szCs w:val="24"/>
    </w:rPr>
  </w:style>
  <w:style w:type="paragraph" w:styleId="Heading8">
    <w:name w:val="heading 8"/>
    <w:basedOn w:val="Normal"/>
    <w:next w:val="Normal"/>
    <w:link w:val="Heading8Char"/>
    <w:uiPriority w:val="9"/>
    <w:semiHidden/>
    <w:unhideWhenUsed/>
    <w:qFormat/>
    <w:rsid w:val="00A5181B"/>
    <w:pPr>
      <w:widowControl/>
      <w:tabs>
        <w:tab w:val="num" w:pos="5760"/>
      </w:tabs>
      <w:spacing w:before="240" w:after="60"/>
      <w:ind w:left="5760" w:hanging="720"/>
      <w:outlineLvl w:val="7"/>
    </w:pPr>
    <w:rPr>
      <w:rFonts w:ascii="Calibri" w:hAnsi="Calibri"/>
      <w:i/>
      <w:iCs/>
      <w:snapToGrid/>
      <w:szCs w:val="24"/>
    </w:rPr>
  </w:style>
  <w:style w:type="paragraph" w:styleId="Heading9">
    <w:name w:val="heading 9"/>
    <w:basedOn w:val="Normal"/>
    <w:next w:val="Normal"/>
    <w:link w:val="Heading9Char"/>
    <w:uiPriority w:val="9"/>
    <w:semiHidden/>
    <w:unhideWhenUsed/>
    <w:qFormat/>
    <w:rsid w:val="00A5181B"/>
    <w:pPr>
      <w:widowControl/>
      <w:tabs>
        <w:tab w:val="num" w:pos="6480"/>
      </w:tabs>
      <w:spacing w:before="240" w:after="60"/>
      <w:ind w:left="6480" w:hanging="720"/>
      <w:outlineLvl w:val="8"/>
    </w:pPr>
    <w:rPr>
      <w:rFonts w:ascii="Cambria" w:hAnsi="Cambria"/>
      <w:snapToGrid/>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FootnoteReference">
    <w:name w:val="footnote reference"/>
    <w:semiHidden/>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rPr>
      <w:sz w:val="20"/>
    </w:rPr>
  </w:style>
  <w:style w:type="paragraph" w:styleId="BalloonText">
    <w:name w:val="Balloon Text"/>
    <w:basedOn w:val="Normal"/>
    <w:semiHidden/>
    <w:rsid w:val="008E1672"/>
    <w:rPr>
      <w:rFonts w:ascii="Tahoma" w:hAnsi="Tahoma" w:cs="Tahoma"/>
      <w:sz w:val="16"/>
      <w:szCs w:val="16"/>
    </w:rPr>
  </w:style>
  <w:style w:type="paragraph" w:styleId="DocumentMap">
    <w:name w:val="Document Map"/>
    <w:basedOn w:val="Normal"/>
    <w:semiHidden/>
    <w:rsid w:val="008741BD"/>
    <w:pPr>
      <w:shd w:val="clear" w:color="auto" w:fill="000080"/>
    </w:pPr>
    <w:rPr>
      <w:rFonts w:ascii="Tahoma" w:hAnsi="Tahoma" w:cs="Tahoma"/>
      <w:sz w:val="20"/>
    </w:rPr>
  </w:style>
  <w:style w:type="paragraph" w:styleId="HTMLPreformatted">
    <w:name w:val="HTML Preformatted"/>
    <w:basedOn w:val="Normal"/>
    <w:link w:val="HTMLPreformattedChar"/>
    <w:rsid w:val="00EC6A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 w:val="20"/>
    </w:rPr>
  </w:style>
  <w:style w:type="paragraph" w:styleId="BodyText">
    <w:name w:val="Body Text"/>
    <w:basedOn w:val="Normal"/>
    <w:rsid w:val="00D1228A"/>
    <w:pPr>
      <w:widowControl/>
      <w:jc w:val="both"/>
    </w:pPr>
    <w:rPr>
      <w:strike/>
      <w:snapToGrid/>
    </w:rPr>
  </w:style>
  <w:style w:type="character" w:styleId="Strong">
    <w:name w:val="Strong"/>
    <w:qFormat/>
    <w:rsid w:val="00D1228A"/>
    <w:rPr>
      <w:b/>
    </w:rPr>
  </w:style>
  <w:style w:type="table" w:styleId="TableGrid">
    <w:name w:val="Table Grid"/>
    <w:basedOn w:val="TableNormal"/>
    <w:rsid w:val="00D1228A"/>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oterChar" w:customStyle="1">
    <w:name w:val="Footer Char"/>
    <w:link w:val="Footer"/>
    <w:uiPriority w:val="99"/>
    <w:rsid w:val="00BD00DE"/>
    <w:rPr>
      <w:rFonts w:ascii="Arial" w:hAnsi="Arial"/>
      <w:snapToGrid w:val="0"/>
      <w:sz w:val="24"/>
    </w:rPr>
  </w:style>
  <w:style w:type="character" w:styleId="Hyperlink">
    <w:name w:val="Hyperlink"/>
    <w:rsid w:val="00FE57EF"/>
    <w:rPr>
      <w:color w:val="0000FF"/>
      <w:u w:val="single"/>
    </w:rPr>
  </w:style>
  <w:style w:type="paragraph" w:styleId="BodyText2">
    <w:name w:val="Body Text 2"/>
    <w:basedOn w:val="Normal"/>
    <w:link w:val="BodyText2Char"/>
    <w:rsid w:val="00B42967"/>
    <w:pPr>
      <w:spacing w:after="120" w:line="480" w:lineRule="auto"/>
    </w:pPr>
  </w:style>
  <w:style w:type="character" w:styleId="BodyText2Char" w:customStyle="1">
    <w:name w:val="Body Text 2 Char"/>
    <w:link w:val="BodyText2"/>
    <w:rsid w:val="00B42967"/>
    <w:rPr>
      <w:rFonts w:ascii="Arial" w:hAnsi="Arial"/>
      <w:snapToGrid w:val="0"/>
      <w:sz w:val="24"/>
    </w:rPr>
  </w:style>
  <w:style w:type="paragraph" w:styleId="CommentSubject">
    <w:name w:val="annotation subject"/>
    <w:basedOn w:val="CommentText"/>
    <w:next w:val="CommentText"/>
    <w:link w:val="CommentSubjectChar"/>
    <w:rsid w:val="00E221D8"/>
    <w:rPr>
      <w:b/>
      <w:bCs/>
    </w:rPr>
  </w:style>
  <w:style w:type="character" w:styleId="CommentTextChar" w:customStyle="1">
    <w:name w:val="Comment Text Char"/>
    <w:link w:val="CommentText"/>
    <w:uiPriority w:val="99"/>
    <w:semiHidden/>
    <w:rsid w:val="00E221D8"/>
    <w:rPr>
      <w:rFonts w:ascii="Arial" w:hAnsi="Arial"/>
      <w:snapToGrid w:val="0"/>
    </w:rPr>
  </w:style>
  <w:style w:type="character" w:styleId="CommentSubjectChar" w:customStyle="1">
    <w:name w:val="Comment Subject Char"/>
    <w:link w:val="CommentSubject"/>
    <w:rsid w:val="00E221D8"/>
    <w:rPr>
      <w:rFonts w:ascii="Arial" w:hAnsi="Arial"/>
      <w:b/>
      <w:bCs/>
      <w:snapToGrid w:val="0"/>
    </w:rPr>
  </w:style>
  <w:style w:type="character" w:styleId="FollowedHyperlink">
    <w:name w:val="FollowedHyperlink"/>
    <w:rsid w:val="00370289"/>
    <w:rPr>
      <w:color w:val="800080"/>
      <w:u w:val="single"/>
    </w:rPr>
  </w:style>
  <w:style w:type="paragraph" w:styleId="Revision">
    <w:name w:val="Revision"/>
    <w:hidden/>
    <w:uiPriority w:val="99"/>
    <w:semiHidden/>
    <w:rsid w:val="0097145A"/>
    <w:rPr>
      <w:rFonts w:ascii="Arial" w:hAnsi="Arial"/>
      <w:snapToGrid w:val="0"/>
      <w:sz w:val="24"/>
    </w:rPr>
  </w:style>
  <w:style w:type="character" w:styleId="Heading6Char" w:customStyle="1">
    <w:name w:val="Heading 6 Char"/>
    <w:link w:val="Heading6"/>
    <w:rsid w:val="00A5181B"/>
    <w:rPr>
      <w:b/>
      <w:bCs/>
      <w:sz w:val="22"/>
      <w:szCs w:val="22"/>
    </w:rPr>
  </w:style>
  <w:style w:type="character" w:styleId="Heading7Char" w:customStyle="1">
    <w:name w:val="Heading 7 Char"/>
    <w:link w:val="Heading7"/>
    <w:uiPriority w:val="9"/>
    <w:semiHidden/>
    <w:rsid w:val="00A5181B"/>
    <w:rPr>
      <w:rFonts w:ascii="Calibri" w:hAnsi="Calibri"/>
      <w:sz w:val="24"/>
      <w:szCs w:val="24"/>
    </w:rPr>
  </w:style>
  <w:style w:type="character" w:styleId="Heading8Char" w:customStyle="1">
    <w:name w:val="Heading 8 Char"/>
    <w:link w:val="Heading8"/>
    <w:uiPriority w:val="9"/>
    <w:semiHidden/>
    <w:rsid w:val="00A5181B"/>
    <w:rPr>
      <w:rFonts w:ascii="Calibri" w:hAnsi="Calibri"/>
      <w:i/>
      <w:iCs/>
      <w:sz w:val="24"/>
      <w:szCs w:val="24"/>
    </w:rPr>
  </w:style>
  <w:style w:type="character" w:styleId="Heading9Char" w:customStyle="1">
    <w:name w:val="Heading 9 Char"/>
    <w:link w:val="Heading9"/>
    <w:uiPriority w:val="9"/>
    <w:semiHidden/>
    <w:rsid w:val="00A5181B"/>
    <w:rPr>
      <w:rFonts w:ascii="Cambria" w:hAnsi="Cambria"/>
      <w:sz w:val="22"/>
      <w:szCs w:val="22"/>
    </w:rPr>
  </w:style>
  <w:style w:type="character" w:styleId="Heading1Char" w:customStyle="1">
    <w:name w:val="Heading 1 Char"/>
    <w:link w:val="Heading1"/>
    <w:uiPriority w:val="9"/>
    <w:rsid w:val="00A5181B"/>
    <w:rPr>
      <w:rFonts w:ascii="Arial" w:hAnsi="Arial"/>
      <w:snapToGrid w:val="0"/>
      <w:sz w:val="24"/>
      <w:u w:val="single"/>
    </w:rPr>
  </w:style>
  <w:style w:type="character" w:styleId="Heading2Char" w:customStyle="1">
    <w:name w:val="Heading 2 Char"/>
    <w:link w:val="Heading2"/>
    <w:uiPriority w:val="9"/>
    <w:rsid w:val="00A5181B"/>
    <w:rPr>
      <w:rFonts w:ascii="Arial" w:hAnsi="Arial"/>
      <w:snapToGrid w:val="0"/>
      <w:sz w:val="24"/>
      <w:u w:val="single"/>
    </w:rPr>
  </w:style>
  <w:style w:type="character" w:styleId="Heading3Char" w:customStyle="1">
    <w:name w:val="Heading 3 Char"/>
    <w:link w:val="Heading3"/>
    <w:uiPriority w:val="9"/>
    <w:rsid w:val="00A5181B"/>
    <w:rPr>
      <w:rFonts w:ascii="Arial" w:hAnsi="Arial"/>
      <w:b/>
      <w:snapToGrid w:val="0"/>
      <w:sz w:val="24"/>
    </w:rPr>
  </w:style>
  <w:style w:type="character" w:styleId="Heading4Char" w:customStyle="1">
    <w:name w:val="Heading 4 Char"/>
    <w:link w:val="Heading4"/>
    <w:uiPriority w:val="9"/>
    <w:rsid w:val="00A5181B"/>
    <w:rPr>
      <w:b/>
      <w:bCs/>
      <w:snapToGrid w:val="0"/>
      <w:sz w:val="28"/>
      <w:szCs w:val="28"/>
    </w:rPr>
  </w:style>
  <w:style w:type="character" w:styleId="Heading5Char" w:customStyle="1">
    <w:name w:val="Heading 5 Char"/>
    <w:link w:val="Heading5"/>
    <w:uiPriority w:val="9"/>
    <w:rsid w:val="00A5181B"/>
    <w:rPr>
      <w:rFonts w:ascii="Arial" w:hAnsi="Arial"/>
      <w:b/>
      <w:bCs/>
      <w:i/>
      <w:iCs/>
      <w:snapToGrid w:val="0"/>
      <w:sz w:val="26"/>
      <w:szCs w:val="26"/>
    </w:rPr>
  </w:style>
  <w:style w:type="paragraph" w:styleId="NoSpacing">
    <w:name w:val="No Spacing"/>
    <w:link w:val="NoSpacingChar"/>
    <w:uiPriority w:val="1"/>
    <w:qFormat/>
    <w:rsid w:val="00051C41"/>
    <w:rPr>
      <w:rFonts w:ascii="Calibri" w:hAnsi="Calibri"/>
      <w:sz w:val="22"/>
      <w:szCs w:val="22"/>
      <w:lang w:eastAsia="ja-JP"/>
    </w:rPr>
  </w:style>
  <w:style w:type="character" w:styleId="NoSpacingChar" w:customStyle="1">
    <w:name w:val="No Spacing Char"/>
    <w:link w:val="NoSpacing"/>
    <w:uiPriority w:val="1"/>
    <w:rsid w:val="00051C41"/>
    <w:rPr>
      <w:rFonts w:ascii="Calibri" w:hAnsi="Calibri"/>
      <w:sz w:val="22"/>
      <w:szCs w:val="22"/>
      <w:lang w:eastAsia="ja-JP"/>
    </w:rPr>
  </w:style>
  <w:style w:type="paragraph" w:styleId="NormalWeb">
    <w:name w:val="Normal (Web)"/>
    <w:basedOn w:val="Normal"/>
    <w:uiPriority w:val="99"/>
    <w:unhideWhenUsed/>
    <w:rsid w:val="0088328D"/>
    <w:pPr>
      <w:widowControl/>
      <w:spacing w:before="100" w:beforeAutospacing="1" w:after="100" w:afterAutospacing="1"/>
    </w:pPr>
    <w:rPr>
      <w:rFonts w:ascii="Times New Roman" w:hAnsi="Times New Roman"/>
      <w:snapToGrid/>
      <w:szCs w:val="24"/>
    </w:rPr>
  </w:style>
  <w:style w:type="character" w:styleId="UnresolvedMention">
    <w:name w:val="Unresolved Mention"/>
    <w:uiPriority w:val="99"/>
    <w:semiHidden/>
    <w:unhideWhenUsed/>
    <w:rsid w:val="00417C2F"/>
    <w:rPr>
      <w:color w:val="605E5C"/>
      <w:shd w:val="clear" w:color="auto" w:fill="E1DFDD"/>
    </w:rPr>
  </w:style>
  <w:style w:type="character" w:styleId="HTMLPreformattedChar" w:customStyle="1">
    <w:name w:val="HTML Preformatted Char"/>
    <w:basedOn w:val="DefaultParagraphFont"/>
    <w:link w:val="HTMLPreformatted"/>
    <w:rsid w:val="00236E74"/>
    <w:rPr>
      <w:rFonts w:ascii="Courier New" w:hAnsi="Courier New" w:cs="Courier New"/>
    </w:rPr>
  </w:style>
  <w:style w:type="paragraph" w:styleId="ListParagraph">
    <w:name w:val="List Paragraph"/>
    <w:basedOn w:val="Normal"/>
    <w:uiPriority w:val="34"/>
    <w:qFormat/>
    <w:rsid w:val="00C06F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9496">
      <w:bodyDiv w:val="1"/>
      <w:marLeft w:val="0"/>
      <w:marRight w:val="0"/>
      <w:marTop w:val="0"/>
      <w:marBottom w:val="0"/>
      <w:divBdr>
        <w:top w:val="none" w:sz="0" w:space="0" w:color="auto"/>
        <w:left w:val="none" w:sz="0" w:space="0" w:color="auto"/>
        <w:bottom w:val="none" w:sz="0" w:space="0" w:color="auto"/>
        <w:right w:val="none" w:sz="0" w:space="0" w:color="auto"/>
      </w:divBdr>
    </w:div>
    <w:div w:id="88043656">
      <w:bodyDiv w:val="1"/>
      <w:marLeft w:val="0"/>
      <w:marRight w:val="0"/>
      <w:marTop w:val="0"/>
      <w:marBottom w:val="0"/>
      <w:divBdr>
        <w:top w:val="none" w:sz="0" w:space="0" w:color="auto"/>
        <w:left w:val="none" w:sz="0" w:space="0" w:color="auto"/>
        <w:bottom w:val="none" w:sz="0" w:space="0" w:color="auto"/>
        <w:right w:val="none" w:sz="0" w:space="0" w:color="auto"/>
      </w:divBdr>
    </w:div>
    <w:div w:id="189033232">
      <w:bodyDiv w:val="1"/>
      <w:marLeft w:val="0"/>
      <w:marRight w:val="0"/>
      <w:marTop w:val="0"/>
      <w:marBottom w:val="0"/>
      <w:divBdr>
        <w:top w:val="none" w:sz="0" w:space="0" w:color="auto"/>
        <w:left w:val="none" w:sz="0" w:space="0" w:color="auto"/>
        <w:bottom w:val="none" w:sz="0" w:space="0" w:color="auto"/>
        <w:right w:val="none" w:sz="0" w:space="0" w:color="auto"/>
      </w:divBdr>
    </w:div>
    <w:div w:id="1452555630">
      <w:bodyDiv w:val="1"/>
      <w:marLeft w:val="0"/>
      <w:marRight w:val="0"/>
      <w:marTop w:val="0"/>
      <w:marBottom w:val="0"/>
      <w:divBdr>
        <w:top w:val="none" w:sz="0" w:space="0" w:color="auto"/>
        <w:left w:val="none" w:sz="0" w:space="0" w:color="auto"/>
        <w:bottom w:val="none" w:sz="0" w:space="0" w:color="auto"/>
        <w:right w:val="none" w:sz="0" w:space="0" w:color="auto"/>
      </w:divBdr>
    </w:div>
    <w:div w:id="1500654632">
      <w:bodyDiv w:val="1"/>
      <w:marLeft w:val="0"/>
      <w:marRight w:val="0"/>
      <w:marTop w:val="0"/>
      <w:marBottom w:val="0"/>
      <w:divBdr>
        <w:top w:val="none" w:sz="0" w:space="0" w:color="auto"/>
        <w:left w:val="none" w:sz="0" w:space="0" w:color="auto"/>
        <w:bottom w:val="none" w:sz="0" w:space="0" w:color="auto"/>
        <w:right w:val="none" w:sz="0" w:space="0" w:color="auto"/>
      </w:divBdr>
    </w:div>
    <w:div w:id="1549099430">
      <w:bodyDiv w:val="1"/>
      <w:marLeft w:val="0"/>
      <w:marRight w:val="0"/>
      <w:marTop w:val="0"/>
      <w:marBottom w:val="0"/>
      <w:divBdr>
        <w:top w:val="none" w:sz="0" w:space="0" w:color="auto"/>
        <w:left w:val="none" w:sz="0" w:space="0" w:color="auto"/>
        <w:bottom w:val="none" w:sz="0" w:space="0" w:color="auto"/>
        <w:right w:val="none" w:sz="0" w:space="0" w:color="auto"/>
      </w:divBdr>
    </w:div>
    <w:div w:id="1860315002">
      <w:bodyDiv w:val="1"/>
      <w:marLeft w:val="0"/>
      <w:marRight w:val="0"/>
      <w:marTop w:val="0"/>
      <w:marBottom w:val="0"/>
      <w:divBdr>
        <w:top w:val="none" w:sz="0" w:space="0" w:color="auto"/>
        <w:left w:val="none" w:sz="0" w:space="0" w:color="auto"/>
        <w:bottom w:val="none" w:sz="0" w:space="0" w:color="auto"/>
        <w:right w:val="none" w:sz="0" w:space="0" w:color="auto"/>
      </w:divBdr>
    </w:div>
    <w:div w:id="1957641059">
      <w:bodyDiv w:val="1"/>
      <w:marLeft w:val="0"/>
      <w:marRight w:val="0"/>
      <w:marTop w:val="0"/>
      <w:marBottom w:val="0"/>
      <w:divBdr>
        <w:top w:val="none" w:sz="0" w:space="0" w:color="auto"/>
        <w:left w:val="none" w:sz="0" w:space="0" w:color="auto"/>
        <w:bottom w:val="none" w:sz="0" w:space="0" w:color="auto"/>
        <w:right w:val="none" w:sz="0" w:space="0" w:color="auto"/>
      </w:divBdr>
    </w:div>
    <w:div w:id="2043942777">
      <w:bodyDiv w:val="1"/>
      <w:marLeft w:val="0"/>
      <w:marRight w:val="0"/>
      <w:marTop w:val="0"/>
      <w:marBottom w:val="0"/>
      <w:divBdr>
        <w:top w:val="none" w:sz="0" w:space="0" w:color="auto"/>
        <w:left w:val="none" w:sz="0" w:space="0" w:color="auto"/>
        <w:bottom w:val="none" w:sz="0" w:space="0" w:color="auto"/>
        <w:right w:val="none" w:sz="0" w:space="0" w:color="auto"/>
      </w:divBdr>
    </w:div>
    <w:div w:id="2097286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emf" Id="rId13" /><Relationship Type="http://schemas.openxmlformats.org/officeDocument/2006/relationships/image" Target="media/image7.emf" Id="rId18" /><Relationship Type="http://schemas.openxmlformats.org/officeDocument/2006/relationships/header" Target="header3.xml" Id="rId26" /><Relationship Type="http://schemas.openxmlformats.org/officeDocument/2006/relationships/customXml" Target="../customXml/item3.xml" Id="rId3" /><Relationship Type="http://schemas.openxmlformats.org/officeDocument/2006/relationships/image" Target="media/image9.emf" Id="rId21" /><Relationship Type="http://schemas.openxmlformats.org/officeDocument/2006/relationships/settings" Target="settings.xml" Id="rId7" /><Relationship Type="http://schemas.openxmlformats.org/officeDocument/2006/relationships/oleObject" Target="embeddings/oleObject1.bin"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6.wmf" Id="rId16" /><Relationship Type="http://schemas.openxmlformats.org/officeDocument/2006/relationships/image" Target="media/image8.emf"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2.xml" Id="rId24" /><Relationship Type="http://schemas.openxmlformats.org/officeDocument/2006/relationships/numbering" Target="numbering.xml" Id="rId5" /><Relationship Type="http://schemas.openxmlformats.org/officeDocument/2006/relationships/image" Target="media/image5.emf" Id="rId15" /><Relationship Type="http://schemas.openxmlformats.org/officeDocument/2006/relationships/header" Target="head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oleObject" Target="embeddings/oleObject2.bin"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emf" Id="rId14" /><Relationship Type="http://schemas.openxmlformats.org/officeDocument/2006/relationships/hyperlink" Target="mailto:jshevlin@sacrt.com" TargetMode="External" Id="rId22" /><Relationship Type="http://schemas.openxmlformats.org/officeDocument/2006/relationships/fontTable" Target="fontTable.xml" Id="rId27" /><Relationship Type="http://schemas.openxmlformats.org/officeDocument/2006/relationships/image" Target="/media/image2.jpg" Id="Rfaee08c4fcdd454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ffcee09-90be-49c2-9642-6dae88074309" xsi:nil="true"/>
    <lcf76f155ced4ddcb4097134ff3c332f xmlns="5e7b402b-c8d0-43b7-ae14-d9b29155b9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CE7E1662629F478DF2EC77DB852F97" ma:contentTypeVersion="14" ma:contentTypeDescription="Create a new document." ma:contentTypeScope="" ma:versionID="298a1e04db3092266e4dd30013a4e443">
  <xsd:schema xmlns:xsd="http://www.w3.org/2001/XMLSchema" xmlns:xs="http://www.w3.org/2001/XMLSchema" xmlns:p="http://schemas.microsoft.com/office/2006/metadata/properties" xmlns:ns2="5e7b402b-c8d0-43b7-ae14-d9b29155b9a9" xmlns:ns3="9ffcee09-90be-49c2-9642-6dae88074309" targetNamespace="http://schemas.microsoft.com/office/2006/metadata/properties" ma:root="true" ma:fieldsID="a9309051ebdafc62acc8b3cb9e9ed330" ns2:_="" ns3:_="">
    <xsd:import namespace="5e7b402b-c8d0-43b7-ae14-d9b29155b9a9"/>
    <xsd:import namespace="9ffcee09-90be-49c2-9642-6dae880743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b402b-c8d0-43b7-ae14-d9b29155b9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64f4708-79f8-4a8a-8cc5-2c96a5b4ff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fcee09-90be-49c2-9642-6dae880743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4c64245-e122-4f08-bdc9-362038e07310}" ma:internalName="TaxCatchAll" ma:showField="CatchAllData" ma:web="9ffcee09-90be-49c2-9642-6dae880743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EEA61-00BB-4BC7-BC2D-663717CD3070}">
  <ds:schemaRefs>
    <ds:schemaRef ds:uri="http://schemas.microsoft.com/sharepoint/v3/contenttype/forms"/>
  </ds:schemaRefs>
</ds:datastoreItem>
</file>

<file path=customXml/itemProps2.xml><?xml version="1.0" encoding="utf-8"?>
<ds:datastoreItem xmlns:ds="http://schemas.openxmlformats.org/officeDocument/2006/customXml" ds:itemID="{E1FCFABD-4C99-4069-B80B-898F34357D82}">
  <ds:schemaRefs>
    <ds:schemaRef ds:uri="http://schemas.openxmlformats.org/package/2006/metadata/core-properties"/>
    <ds:schemaRef ds:uri="http://schemas.microsoft.com/office/2006/documentManagement/types"/>
    <ds:schemaRef ds:uri="9ffcee09-90be-49c2-9642-6dae88074309"/>
    <ds:schemaRef ds:uri="http://purl.org/dc/elements/1.1/"/>
    <ds:schemaRef ds:uri="http://schemas.microsoft.com/office/infopath/2007/PartnerControls"/>
    <ds:schemaRef ds:uri="http://purl.org/dc/terms/"/>
    <ds:schemaRef ds:uri="http://purl.org/dc/dcmitype/"/>
    <ds:schemaRef ds:uri="5e7b402b-c8d0-43b7-ae14-d9b29155b9a9"/>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09FAADC-A50F-46A7-BBBB-4D1366A34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b402b-c8d0-43b7-ae14-d9b29155b9a9"/>
    <ds:schemaRef ds:uri="9ffcee09-90be-49c2-9642-6dae880743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4590AD-4898-42AB-BADA-4D80F10381C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Regional Transit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Issue Paper</dc:title>
  <dc:subject>Issue paper template</dc:subject>
  <dc:creator>MNoble;JShevlin</dc:creator>
  <keywords>issue paper;DBE Triennial Goal Setting</keywords>
  <lastModifiedBy>Jessica Bennick Shevlin</lastModifiedBy>
  <revision>10</revision>
  <lastPrinted>2021-01-26T19:24:00.0000000Z</lastPrinted>
  <dcterms:created xsi:type="dcterms:W3CDTF">2023-06-19T15:56:00.0000000Z</dcterms:created>
  <dcterms:modified xsi:type="dcterms:W3CDTF">2023-06-19T17:01:21.0800554Z</dcterms:modified>
  <category>template</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0x01010009CE7E1662629F478DF2EC77DB852F97</vt:lpwstr>
  </property>
  <property fmtid="{D5CDD505-2E9C-101B-9397-08002B2CF9AE}" pid="3" name="MediaServiceImageTags">
    <vt:lpwstr/>
  </property>
</Properties>
</file>